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293EFE" w:rsidP="001D05D4">
      <w:pPr>
        <w:ind w:left="-180" w:right="-720"/>
        <w:jc w:val="center"/>
        <w:rPr>
          <w:color w:val="002060"/>
          <w:sz w:val="24"/>
        </w:rPr>
      </w:pPr>
      <w:r w:rsidRPr="00B729DB">
        <w:rPr>
          <w:color w:val="002060"/>
          <w:sz w:val="24"/>
        </w:rPr>
        <w:t>The University of Tennessee</w:t>
      </w:r>
    </w:p>
    <w:p w:rsidR="00293EFE" w:rsidRPr="00B729DB" w:rsidRDefault="00887418" w:rsidP="001D05D4">
      <w:pPr>
        <w:ind w:left="-180" w:right="-720"/>
        <w:jc w:val="center"/>
        <w:rPr>
          <w:color w:val="002060"/>
          <w:sz w:val="24"/>
        </w:rPr>
      </w:pPr>
      <w:r>
        <w:rPr>
          <w:color w:val="002060"/>
          <w:sz w:val="24"/>
        </w:rPr>
        <w:t xml:space="preserve">Faculty Senate </w:t>
      </w:r>
      <w:r w:rsidR="00293EFE"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E06000" w:rsidRDefault="004900AA" w:rsidP="009138FA">
      <w:pPr>
        <w:ind w:left="-180" w:right="-720"/>
        <w:jc w:val="center"/>
        <w:rPr>
          <w:b/>
          <w:color w:val="002060"/>
        </w:rPr>
      </w:pPr>
      <w:r>
        <w:rPr>
          <w:color w:val="002060"/>
          <w:sz w:val="24"/>
        </w:rPr>
        <w:t>February 12</w:t>
      </w:r>
      <w:r w:rsidR="00147010">
        <w:rPr>
          <w:color w:val="002060"/>
          <w:sz w:val="24"/>
        </w:rPr>
        <w:t>, 2020</w:t>
      </w:r>
    </w:p>
    <w:p w:rsidR="00293EFE" w:rsidRPr="00E06000" w:rsidRDefault="00293EFE" w:rsidP="009138FA">
      <w:pPr>
        <w:ind w:left="-180" w:right="-720"/>
        <w:rPr>
          <w:b/>
          <w:color w:val="002060"/>
        </w:rPr>
      </w:pPr>
      <w:r w:rsidRPr="00E06000">
        <w:rPr>
          <w:b/>
          <w:color w:val="002060"/>
        </w:rPr>
        <w:t xml:space="preserve">Elected Members present:  </w:t>
      </w:r>
    </w:p>
    <w:p w:rsidR="008E019B" w:rsidRDefault="004900AA" w:rsidP="009138FA">
      <w:pPr>
        <w:ind w:left="-180" w:right="-720"/>
      </w:pPr>
      <w:r>
        <w:t>Chris Boyer</w:t>
      </w:r>
      <w:r w:rsidR="001C6D97">
        <w:t>,</w:t>
      </w:r>
      <w:r w:rsidR="00C0148C">
        <w:t xml:space="preserve"> </w:t>
      </w:r>
      <w:r w:rsidR="001C6D97">
        <w:t>Sherry C</w:t>
      </w:r>
      <w:r w:rsidR="00B01D72">
        <w:t xml:space="preserve">ox, </w:t>
      </w:r>
      <w:r w:rsidR="001C6D97">
        <w:t xml:space="preserve">Qiang He, </w:t>
      </w:r>
      <w:r>
        <w:t xml:space="preserve">Kate Higgins, </w:t>
      </w:r>
      <w:r w:rsidR="008F2E65">
        <w:t xml:space="preserve">David Icove, </w:t>
      </w:r>
      <w:r w:rsidR="001C6D97">
        <w:t xml:space="preserve">Julia Jaekel, </w:t>
      </w:r>
      <w:r w:rsidR="00B01D72">
        <w:t xml:space="preserve">Michael Kilbey, </w:t>
      </w:r>
      <w:r>
        <w:t>Sean Schaeffer</w:t>
      </w:r>
      <w:r w:rsidR="00761D89">
        <w:t>,</w:t>
      </w:r>
      <w:r w:rsidR="00B01D72">
        <w:t xml:space="preserve"> </w:t>
      </w:r>
      <w:r w:rsidR="001C6D97">
        <w:t>Zach Sims</w:t>
      </w:r>
      <w:r w:rsidR="00B01D72">
        <w:t>, Soren Sorensen,</w:t>
      </w:r>
      <w:r w:rsidR="008F2E65">
        <w:t xml:space="preserve"> </w:t>
      </w:r>
      <w:r w:rsidR="001C6D97">
        <w:t xml:space="preserve">and </w:t>
      </w:r>
      <w:r w:rsidR="008F2E65">
        <w:t>Andrew Yu</w:t>
      </w:r>
      <w:r w:rsidR="00B01D72">
        <w:t>.</w:t>
      </w:r>
    </w:p>
    <w:p w:rsidR="00E75E9B" w:rsidRDefault="00E75E9B" w:rsidP="009138FA">
      <w:pPr>
        <w:ind w:left="-180" w:right="-720"/>
      </w:pPr>
    </w:p>
    <w:p w:rsidR="00293EFE" w:rsidRPr="00E06000" w:rsidRDefault="00293EFE" w:rsidP="009138FA">
      <w:pPr>
        <w:ind w:left="-180" w:right="-720"/>
        <w:rPr>
          <w:b/>
          <w:color w:val="002060"/>
        </w:rPr>
      </w:pPr>
      <w:r w:rsidRPr="00E06000">
        <w:rPr>
          <w:b/>
          <w:color w:val="002060"/>
        </w:rPr>
        <w:t xml:space="preserve">Ex-Officio Members present:  </w:t>
      </w:r>
    </w:p>
    <w:p w:rsidR="00E75E9B" w:rsidRDefault="008E019B" w:rsidP="009138FA">
      <w:pPr>
        <w:ind w:left="-180" w:right="-720"/>
      </w:pPr>
      <w:r>
        <w:t>Suzie, Allar</w:t>
      </w:r>
      <w:r w:rsidR="00C43ED3">
        <w:t>d,</w:t>
      </w:r>
      <w:r w:rsidR="001C6D97">
        <w:t xml:space="preserve"> </w:t>
      </w:r>
      <w:r w:rsidR="004900AA">
        <w:t>Bill Dunne</w:t>
      </w:r>
      <w:r w:rsidR="001C6D97">
        <w:t>,</w:t>
      </w:r>
      <w:r w:rsidR="00C43ED3">
        <w:t xml:space="preserve"> </w:t>
      </w:r>
      <w:r w:rsidR="001C6D97">
        <w:t xml:space="preserve">Kimberly Eck, </w:t>
      </w:r>
      <w:r w:rsidR="00C43ED3">
        <w:t xml:space="preserve">Larry McKay, </w:t>
      </w:r>
      <w:r w:rsidR="004900AA">
        <w:t xml:space="preserve">Matthew Mench, Holly Mercer, Marisa Moazen, </w:t>
      </w:r>
      <w:r w:rsidR="001C6D97">
        <w:t xml:space="preserve"> </w:t>
      </w:r>
      <w:r w:rsidR="00560D3E">
        <w:t xml:space="preserve">Josh Price, </w:t>
      </w:r>
      <w:r w:rsidR="00C43ED3">
        <w:t>and Tami Wyatt</w:t>
      </w:r>
    </w:p>
    <w:p w:rsidR="008E019B" w:rsidRDefault="008E019B" w:rsidP="009138FA">
      <w:pPr>
        <w:ind w:left="-180" w:right="-720"/>
      </w:pPr>
    </w:p>
    <w:p w:rsidR="008E019B" w:rsidRDefault="008E019B" w:rsidP="009138FA">
      <w:pPr>
        <w:ind w:left="-180" w:right="-720"/>
        <w:rPr>
          <w:b/>
          <w:color w:val="002060"/>
        </w:rPr>
      </w:pPr>
      <w:r w:rsidRPr="008E019B">
        <w:rPr>
          <w:b/>
          <w:color w:val="002060"/>
        </w:rPr>
        <w:t xml:space="preserve">ORE Members present: </w:t>
      </w:r>
    </w:p>
    <w:p w:rsidR="008E019B" w:rsidRPr="008E019B" w:rsidRDefault="004900AA" w:rsidP="009138FA">
      <w:pPr>
        <w:ind w:left="-180" w:right="-720"/>
        <w:rPr>
          <w:color w:val="000000" w:themeColor="text1"/>
        </w:rPr>
      </w:pPr>
      <w:r>
        <w:t>Jean Mercer</w:t>
      </w:r>
      <w:r>
        <w:rPr>
          <w:color w:val="000000" w:themeColor="text1"/>
        </w:rPr>
        <w:t xml:space="preserve"> and Marisa Moazen</w:t>
      </w:r>
      <w:r w:rsidR="001C6D97">
        <w:rPr>
          <w:color w:val="000000" w:themeColor="text1"/>
        </w:rPr>
        <w:t xml:space="preserve"> </w:t>
      </w:r>
    </w:p>
    <w:p w:rsidR="008E019B" w:rsidRDefault="008E019B" w:rsidP="00574660">
      <w:pPr>
        <w:ind w:right="-720"/>
      </w:pPr>
    </w:p>
    <w:p w:rsidR="00293EFE" w:rsidRPr="00E06000" w:rsidRDefault="00293EFE" w:rsidP="001D05D4">
      <w:pPr>
        <w:ind w:left="-180" w:right="-720"/>
        <w:rPr>
          <w:b/>
        </w:rPr>
      </w:pPr>
      <w:r w:rsidRPr="00E06000">
        <w:rPr>
          <w:b/>
          <w:color w:val="002060"/>
        </w:rPr>
        <w:t>Call to order:</w:t>
      </w:r>
      <w:r w:rsidRPr="00E06000">
        <w:rPr>
          <w:b/>
        </w:rPr>
        <w:t xml:space="preserve">  </w:t>
      </w:r>
    </w:p>
    <w:p w:rsidR="000A60F4" w:rsidRDefault="00293EFE" w:rsidP="001D05D4">
      <w:pPr>
        <w:ind w:left="-180" w:right="-720"/>
      </w:pPr>
      <w:r>
        <w:t>A regular meeting of the Research Council was h</w:t>
      </w:r>
      <w:r w:rsidR="00492DE4">
        <w:t xml:space="preserve">eld at Blount Hall room A004 on </w:t>
      </w:r>
      <w:r w:rsidR="001C6D97">
        <w:t>January 8</w:t>
      </w:r>
      <w:r w:rsidR="00AE576E">
        <w:t xml:space="preserve"> 2019</w:t>
      </w:r>
      <w:r>
        <w:t xml:space="preserve">.  </w:t>
      </w:r>
      <w:r w:rsidR="00895DCB">
        <w:t xml:space="preserve">Michael Kilbey called the meeting to order </w:t>
      </w:r>
      <w:r w:rsidR="000B32E5">
        <w:t>at 3:</w:t>
      </w:r>
      <w:r w:rsidR="00313051">
        <w:t>3</w:t>
      </w:r>
      <w:r w:rsidR="001C6D97">
        <w:t>5</w:t>
      </w:r>
      <w:r w:rsidR="00B01D72">
        <w:t xml:space="preserve"> </w:t>
      </w:r>
      <w:r>
        <w:t>pm.</w:t>
      </w:r>
    </w:p>
    <w:p w:rsidR="000A60F4" w:rsidRDefault="000A60F4" w:rsidP="00492DE4">
      <w:pPr>
        <w:ind w:left="-180" w:right="-720"/>
        <w:rPr>
          <w:b/>
          <w:color w:val="002060"/>
        </w:rPr>
      </w:pPr>
    </w:p>
    <w:p w:rsidR="00492DE4" w:rsidRDefault="00B01D72" w:rsidP="00492DE4">
      <w:pPr>
        <w:ind w:left="-180" w:right="-720"/>
        <w:rPr>
          <w:b/>
          <w:color w:val="002060"/>
        </w:rPr>
      </w:pPr>
      <w:bookmarkStart w:id="0" w:name="_GoBack"/>
      <w:bookmarkEnd w:id="0"/>
      <w:r>
        <w:rPr>
          <w:b/>
          <w:color w:val="002060"/>
        </w:rPr>
        <w:t>Announcements and Reports</w:t>
      </w:r>
    </w:p>
    <w:p w:rsidR="00492DE4" w:rsidRPr="00492DE4" w:rsidRDefault="00C029DE" w:rsidP="00472236">
      <w:pPr>
        <w:ind w:right="-720"/>
        <w:rPr>
          <w:b/>
          <w:color w:val="000000" w:themeColor="text1"/>
        </w:rPr>
      </w:pPr>
      <w:r>
        <w:rPr>
          <w:b/>
          <w:color w:val="000000" w:themeColor="text1"/>
        </w:rPr>
        <w:t>Summer GRA Fund Update</w:t>
      </w:r>
    </w:p>
    <w:p w:rsidR="00492DE4" w:rsidRDefault="00C029DE" w:rsidP="000F799F">
      <w:pPr>
        <w:pStyle w:val="ListParagraph"/>
        <w:numPr>
          <w:ilvl w:val="0"/>
          <w:numId w:val="31"/>
        </w:numPr>
        <w:ind w:right="-720"/>
        <w:rPr>
          <w:color w:val="000000" w:themeColor="text1"/>
        </w:rPr>
      </w:pPr>
      <w:r>
        <w:rPr>
          <w:color w:val="000000" w:themeColor="text1"/>
        </w:rPr>
        <w:t>Committee is on schedule.  Proposals due February 26.</w:t>
      </w:r>
    </w:p>
    <w:p w:rsidR="00023ECA" w:rsidRDefault="00023ECA" w:rsidP="00023ECA">
      <w:pPr>
        <w:ind w:left="180" w:right="-720"/>
        <w:rPr>
          <w:b/>
          <w:color w:val="000000" w:themeColor="text1"/>
        </w:rPr>
      </w:pPr>
    </w:p>
    <w:p w:rsidR="00C029DE" w:rsidRDefault="00C029DE" w:rsidP="00C029DE">
      <w:pPr>
        <w:ind w:left="-180" w:right="-720"/>
        <w:rPr>
          <w:b/>
          <w:color w:val="002060"/>
        </w:rPr>
      </w:pPr>
      <w:r>
        <w:rPr>
          <w:b/>
          <w:color w:val="002060"/>
        </w:rPr>
        <w:t>Approval of Minutes</w:t>
      </w:r>
    </w:p>
    <w:p w:rsidR="00C029DE" w:rsidRPr="00C029DE" w:rsidRDefault="00C029DE" w:rsidP="00C029DE">
      <w:pPr>
        <w:pStyle w:val="ListParagraph"/>
        <w:numPr>
          <w:ilvl w:val="0"/>
          <w:numId w:val="31"/>
        </w:numPr>
        <w:ind w:right="-720"/>
        <w:rPr>
          <w:color w:val="000000" w:themeColor="text1"/>
        </w:rPr>
      </w:pPr>
      <w:r>
        <w:rPr>
          <w:color w:val="000000" w:themeColor="text1"/>
        </w:rPr>
        <w:t xml:space="preserve">Minutes were approved online by email. </w:t>
      </w:r>
    </w:p>
    <w:p w:rsidR="00C029DE" w:rsidRPr="00023ECA" w:rsidRDefault="00C029DE" w:rsidP="00023ECA">
      <w:pPr>
        <w:ind w:left="180" w:right="-720"/>
        <w:rPr>
          <w:b/>
          <w:color w:val="000000" w:themeColor="text1"/>
        </w:rPr>
      </w:pPr>
    </w:p>
    <w:p w:rsidR="00B01D72" w:rsidRDefault="00B01D72" w:rsidP="001F6C05">
      <w:pPr>
        <w:ind w:left="-180" w:right="-720"/>
        <w:rPr>
          <w:b/>
          <w:color w:val="002060"/>
        </w:rPr>
      </w:pPr>
      <w:r>
        <w:rPr>
          <w:b/>
          <w:color w:val="002060"/>
        </w:rPr>
        <w:t>Old Business -</w:t>
      </w:r>
      <w:r w:rsidRPr="00B01D72">
        <w:rPr>
          <w:b/>
          <w:i/>
          <w:color w:val="002060"/>
        </w:rPr>
        <w:t xml:space="preserve"> </w:t>
      </w:r>
      <w:r w:rsidR="001F6C05">
        <w:rPr>
          <w:b/>
          <w:color w:val="002060"/>
        </w:rPr>
        <w:t>Presentation</w:t>
      </w:r>
    </w:p>
    <w:p w:rsidR="00E847F8" w:rsidRPr="00964308" w:rsidRDefault="00C029DE" w:rsidP="00C029DE">
      <w:pPr>
        <w:pStyle w:val="ListParagraph"/>
        <w:numPr>
          <w:ilvl w:val="0"/>
          <w:numId w:val="31"/>
        </w:numPr>
        <w:ind w:right="-720"/>
        <w:rPr>
          <w:color w:val="000000" w:themeColor="text1"/>
        </w:rPr>
      </w:pPr>
      <w:r>
        <w:rPr>
          <w:color w:val="000000" w:themeColor="text1"/>
        </w:rPr>
        <w:t>None</w:t>
      </w:r>
      <w:r w:rsidR="00BD7B0A">
        <w:rPr>
          <w:color w:val="000000" w:themeColor="text1"/>
        </w:rPr>
        <w:t xml:space="preserve"> </w:t>
      </w:r>
    </w:p>
    <w:p w:rsidR="00023ECA" w:rsidRPr="00515A1B" w:rsidRDefault="00023ECA" w:rsidP="00B01D72">
      <w:pPr>
        <w:ind w:left="-180" w:right="-720"/>
        <w:rPr>
          <w:b/>
          <w:color w:val="000000" w:themeColor="text1"/>
        </w:rPr>
      </w:pPr>
    </w:p>
    <w:p w:rsidR="00B01D72" w:rsidRDefault="00B01D72" w:rsidP="00B01D72">
      <w:pPr>
        <w:ind w:left="-180" w:right="-720"/>
        <w:rPr>
          <w:b/>
          <w:color w:val="002060"/>
        </w:rPr>
      </w:pPr>
      <w:r>
        <w:rPr>
          <w:b/>
          <w:color w:val="002060"/>
        </w:rPr>
        <w:t>New Business</w:t>
      </w:r>
    </w:p>
    <w:p w:rsidR="00B01D72" w:rsidRDefault="00C029DE" w:rsidP="00B01D72">
      <w:pPr>
        <w:ind w:right="-720"/>
        <w:rPr>
          <w:b/>
          <w:color w:val="000000" w:themeColor="text1"/>
        </w:rPr>
      </w:pPr>
      <w:r>
        <w:rPr>
          <w:b/>
          <w:color w:val="000000" w:themeColor="text1"/>
        </w:rPr>
        <w:t>Presentation and discussion of UTIA research and UTK/UTIA re-unification - Kimberly Eck</w:t>
      </w:r>
    </w:p>
    <w:p w:rsidR="00814AD0" w:rsidRDefault="00814AD0" w:rsidP="00814AD0">
      <w:pPr>
        <w:shd w:val="clear" w:color="auto" w:fill="FFFFFF"/>
        <w:rPr>
          <w:rFonts w:ascii="Calibri" w:eastAsia="Times New Roman" w:hAnsi="Calibri" w:cs="Calibri"/>
          <w:color w:val="201F1E"/>
        </w:rPr>
      </w:pPr>
      <w:r>
        <w:rPr>
          <w:rFonts w:ascii="Calibri" w:eastAsia="Times New Roman" w:hAnsi="Calibri" w:cs="Calibri"/>
          <w:color w:val="201F1E"/>
        </w:rPr>
        <w:t>The Research Working Group, co-chaired by Kimberly Eck and David White, generated a long list ideas, many of which are interrelated. When ideas were organized they realized that the majority of the concepts discussed were in support of three key recommendations. These three recommendations are also connected to each other and are each equally important to reunifying the UTK-UTIA research enterprise.</w:t>
      </w:r>
      <w:r w:rsidR="00934FE4">
        <w:rPr>
          <w:rFonts w:ascii="Calibri" w:eastAsia="Times New Roman" w:hAnsi="Calibri" w:cs="Calibri"/>
          <w:color w:val="201F1E"/>
        </w:rPr>
        <w:t xml:space="preserve"> </w:t>
      </w:r>
      <w:r w:rsidR="00934FE4" w:rsidRPr="00934FE4">
        <w:rPr>
          <w:rFonts w:ascii="Calibri" w:eastAsia="Times New Roman" w:hAnsi="Calibri" w:cs="Calibri"/>
          <w:i/>
          <w:color w:val="201F1E"/>
        </w:rPr>
        <w:t xml:space="preserve"> [Recommendatio</w:t>
      </w:r>
      <w:r w:rsidR="00934FE4">
        <w:rPr>
          <w:rFonts w:ascii="Calibri" w:eastAsia="Times New Roman" w:hAnsi="Calibri" w:cs="Calibri"/>
          <w:i/>
          <w:color w:val="201F1E"/>
        </w:rPr>
        <w:t>ns are in d</w:t>
      </w:r>
      <w:r w:rsidR="00934FE4" w:rsidRPr="00934FE4">
        <w:rPr>
          <w:rFonts w:ascii="Calibri" w:eastAsia="Times New Roman" w:hAnsi="Calibri" w:cs="Calibri"/>
          <w:i/>
          <w:color w:val="201F1E"/>
        </w:rPr>
        <w:t>raft and not yet submitted to the Chancellor]</w:t>
      </w:r>
    </w:p>
    <w:p w:rsidR="00814AD0" w:rsidRDefault="00814AD0" w:rsidP="00814AD0">
      <w:pPr>
        <w:shd w:val="clear" w:color="auto" w:fill="FFFFFF"/>
        <w:rPr>
          <w:rFonts w:ascii="Calibri" w:eastAsia="Times New Roman" w:hAnsi="Calibri" w:cs="Calibri"/>
          <w:color w:val="201F1E"/>
        </w:rPr>
      </w:pPr>
    </w:p>
    <w:p w:rsidR="00814AD0" w:rsidRDefault="00814AD0" w:rsidP="00814AD0">
      <w:pPr>
        <w:shd w:val="clear" w:color="auto" w:fill="FFFFFF"/>
        <w:rPr>
          <w:rFonts w:ascii="Calibri" w:eastAsia="Times New Roman" w:hAnsi="Calibri" w:cs="Calibri"/>
          <w:color w:val="201F1E"/>
        </w:rPr>
      </w:pPr>
      <w:r>
        <w:rPr>
          <w:rFonts w:ascii="Calibri" w:eastAsia="Times New Roman" w:hAnsi="Calibri" w:cs="Calibri"/>
          <w:b/>
          <w:color w:val="201F1E"/>
        </w:rPr>
        <w:t xml:space="preserve">Charge </w:t>
      </w:r>
      <w:r w:rsidRPr="00F86AF8">
        <w:rPr>
          <w:rFonts w:ascii="Calibri" w:eastAsia="Times New Roman" w:hAnsi="Calibri" w:cs="Calibri"/>
          <w:b/>
          <w:color w:val="201F1E"/>
        </w:rPr>
        <w:t>1</w:t>
      </w:r>
      <w:r>
        <w:rPr>
          <w:rFonts w:ascii="Calibri" w:eastAsia="Times New Roman" w:hAnsi="Calibri" w:cs="Calibri"/>
          <w:color w:val="201F1E"/>
        </w:rPr>
        <w:t xml:space="preserve">: </w:t>
      </w:r>
      <w:r w:rsidRPr="00E32F91">
        <w:rPr>
          <w:rFonts w:ascii="Calibri" w:eastAsia="Times New Roman" w:hAnsi="Calibri" w:cs="Calibri"/>
          <w:color w:val="201F1E"/>
        </w:rPr>
        <w:t>To identify the top 5 opportunities or ideas relating to enhancing research collaboration between UTIA and UTK faculty and to recommend specific changes that need to occur to take advantage of those opportunities or ideas.</w:t>
      </w:r>
    </w:p>
    <w:p w:rsidR="00814AD0" w:rsidRPr="00814AD0" w:rsidRDefault="00814AD0" w:rsidP="00814AD0">
      <w:pPr>
        <w:pStyle w:val="ListParagraph"/>
        <w:numPr>
          <w:ilvl w:val="0"/>
          <w:numId w:val="31"/>
        </w:numPr>
        <w:shd w:val="clear" w:color="auto" w:fill="FFFFFF"/>
        <w:rPr>
          <w:rFonts w:ascii="Calibri" w:eastAsia="Times New Roman" w:hAnsi="Calibri" w:cs="Calibri"/>
          <w:color w:val="201F1E"/>
        </w:rPr>
      </w:pPr>
      <w:r w:rsidRPr="00814AD0">
        <w:rPr>
          <w:rFonts w:ascii="Calibri" w:eastAsia="Times New Roman" w:hAnsi="Calibri" w:cs="Calibri"/>
          <w:b/>
          <w:color w:val="201F1E"/>
        </w:rPr>
        <w:t>Recommendation 1:</w:t>
      </w:r>
      <w:r w:rsidRPr="00814AD0">
        <w:rPr>
          <w:rFonts w:ascii="Calibri" w:eastAsia="Times New Roman" w:hAnsi="Calibri" w:cs="Calibri"/>
          <w:color w:val="201F1E"/>
        </w:rPr>
        <w:t xml:space="preserve"> Create and support faculty-driven </w:t>
      </w:r>
      <w:r w:rsidRPr="00814AD0">
        <w:rPr>
          <w:rFonts w:ascii="Calibri" w:hAnsi="Calibri" w:cs="Calibri"/>
          <w:color w:val="201F1E"/>
        </w:rPr>
        <w:t xml:space="preserve">transdisciplinary </w:t>
      </w:r>
      <w:r w:rsidRPr="00814AD0">
        <w:rPr>
          <w:rFonts w:ascii="Calibri" w:eastAsia="Times New Roman" w:hAnsi="Calibri" w:cs="Calibri"/>
          <w:color w:val="201F1E"/>
        </w:rPr>
        <w:t>initiatives that bring multiple academic units across UTIA and UTK together to tackle grand challenges.</w:t>
      </w:r>
    </w:p>
    <w:p w:rsidR="00814AD0" w:rsidRDefault="00814AD0" w:rsidP="00814AD0">
      <w:pPr>
        <w:pStyle w:val="ListParagraph"/>
        <w:numPr>
          <w:ilvl w:val="0"/>
          <w:numId w:val="31"/>
        </w:numPr>
        <w:shd w:val="clear" w:color="auto" w:fill="FFFFFF"/>
      </w:pPr>
      <w:r w:rsidRPr="00814AD0">
        <w:rPr>
          <w:rFonts w:ascii="Calibri" w:eastAsia="Times New Roman" w:hAnsi="Calibri" w:cs="Calibri"/>
          <w:b/>
          <w:color w:val="201F1E"/>
        </w:rPr>
        <w:t>Recommendation 2:</w:t>
      </w:r>
      <w:r w:rsidRPr="00814AD0">
        <w:rPr>
          <w:rFonts w:ascii="Calibri" w:eastAsia="Times New Roman" w:hAnsi="Calibri" w:cs="Calibri"/>
          <w:color w:val="201F1E"/>
        </w:rPr>
        <w:t xml:space="preserve"> </w:t>
      </w:r>
      <w:r w:rsidRPr="00814AD0">
        <w:rPr>
          <w:rFonts w:ascii="Calibri" w:hAnsi="Calibri" w:cs="Calibri"/>
          <w:color w:val="201F1E"/>
        </w:rPr>
        <w:t xml:space="preserve">Increase support for graduate students </w:t>
      </w:r>
      <w:r w:rsidRPr="0010688F">
        <w:t>in fields that span UTK and UTIA</w:t>
      </w:r>
      <w:r w:rsidRPr="00814AD0">
        <w:rPr>
          <w:rFonts w:ascii="Calibri" w:hAnsi="Calibri" w:cs="Calibri"/>
          <w:color w:val="201F1E"/>
        </w:rPr>
        <w:t xml:space="preserve"> with a f</w:t>
      </w:r>
      <w:r w:rsidRPr="0010688F">
        <w:t>ocus on</w:t>
      </w:r>
      <w:r>
        <w:t xml:space="preserve"> improving the </w:t>
      </w:r>
      <w:r w:rsidRPr="0010688F">
        <w:t>grad</w:t>
      </w:r>
      <w:r>
        <w:t>uate</w:t>
      </w:r>
      <w:r w:rsidRPr="0010688F">
        <w:t xml:space="preserve"> student experience</w:t>
      </w:r>
      <w:r>
        <w:t xml:space="preserve"> and reducing administrative barriers.</w:t>
      </w:r>
    </w:p>
    <w:p w:rsidR="00814AD0" w:rsidRPr="00814AD0" w:rsidRDefault="00814AD0" w:rsidP="00814AD0">
      <w:pPr>
        <w:pStyle w:val="ListParagraph"/>
        <w:numPr>
          <w:ilvl w:val="0"/>
          <w:numId w:val="31"/>
        </w:numPr>
        <w:shd w:val="clear" w:color="auto" w:fill="FFFFFF"/>
        <w:rPr>
          <w:rFonts w:ascii="Calibri" w:eastAsia="Times New Roman" w:hAnsi="Calibri" w:cs="Calibri"/>
          <w:color w:val="201F1E"/>
        </w:rPr>
      </w:pPr>
      <w:r w:rsidRPr="00814AD0">
        <w:rPr>
          <w:rFonts w:ascii="Calibri" w:eastAsia="Times New Roman" w:hAnsi="Calibri" w:cs="Calibri"/>
          <w:b/>
          <w:color w:val="201F1E"/>
        </w:rPr>
        <w:t xml:space="preserve">Recommendation 3: </w:t>
      </w:r>
      <w:r w:rsidRPr="00814AD0">
        <w:rPr>
          <w:rFonts w:ascii="Calibri" w:eastAsia="Times New Roman" w:hAnsi="Calibri" w:cs="Calibri"/>
          <w:color w:val="201F1E"/>
        </w:rPr>
        <w:t xml:space="preserve">Strengthen and expand the infrastructure needed to promote collaborations between </w:t>
      </w:r>
      <w:r w:rsidRPr="00814AD0">
        <w:rPr>
          <w:rFonts w:ascii="Calibri" w:hAnsi="Calibri" w:cs="Calibri"/>
          <w:color w:val="201F1E"/>
        </w:rPr>
        <w:t>UTIA/UTK faculty members and across disciplines.</w:t>
      </w:r>
    </w:p>
    <w:p w:rsidR="007708CF" w:rsidRDefault="007708CF">
      <w:pPr>
        <w:spacing w:after="160" w:line="259" w:lineRule="auto"/>
        <w:rPr>
          <w:i/>
        </w:rPr>
      </w:pPr>
      <w:r>
        <w:rPr>
          <w:i/>
        </w:rPr>
        <w:br w:type="page"/>
      </w:r>
    </w:p>
    <w:p w:rsidR="00814AD0" w:rsidRDefault="00585E74" w:rsidP="00814AD0">
      <w:pPr>
        <w:shd w:val="clear" w:color="auto" w:fill="FFFFFF"/>
        <w:rPr>
          <w:rFonts w:ascii="Calibri" w:eastAsia="Times New Roman" w:hAnsi="Calibri" w:cs="Calibri"/>
          <w:color w:val="201F1E"/>
        </w:rPr>
      </w:pPr>
      <w:r w:rsidRPr="00585E74">
        <w:rPr>
          <w:i/>
        </w:rPr>
        <w:lastRenderedPageBreak/>
        <w:t xml:space="preserve"> </w:t>
      </w:r>
      <w:r w:rsidR="00814AD0">
        <w:rPr>
          <w:rFonts w:ascii="Calibri" w:eastAsia="Times New Roman" w:hAnsi="Calibri" w:cs="Calibri"/>
          <w:b/>
          <w:color w:val="201F1E"/>
        </w:rPr>
        <w:t>Charge 2</w:t>
      </w:r>
      <w:r w:rsidR="00814AD0">
        <w:rPr>
          <w:rFonts w:ascii="Calibri" w:eastAsia="Times New Roman" w:hAnsi="Calibri" w:cs="Calibri"/>
          <w:color w:val="201F1E"/>
        </w:rPr>
        <w:t xml:space="preserve">: </w:t>
      </w:r>
      <w:r w:rsidR="00814AD0" w:rsidRPr="0010688F">
        <w:rPr>
          <w:rFonts w:ascii="Calibri" w:eastAsia="Times New Roman" w:hAnsi="Calibri" w:cs="Calibri"/>
          <w:color w:val="201F1E"/>
        </w:rPr>
        <w:t>To identify ways and specific changes that need to occur for UTIA and UTK to work together more seamlessly in research development, research administration, research compliance, and faculty research support.</w:t>
      </w:r>
    </w:p>
    <w:p w:rsidR="00814AD0" w:rsidRPr="0010688F" w:rsidRDefault="00814AD0" w:rsidP="007708CF">
      <w:pPr>
        <w:pStyle w:val="ListParagraph"/>
        <w:numPr>
          <w:ilvl w:val="0"/>
          <w:numId w:val="36"/>
        </w:numPr>
      </w:pPr>
      <w:r w:rsidRPr="007708CF">
        <w:rPr>
          <w:b/>
        </w:rPr>
        <w:t>Recommendation 4:</w:t>
      </w:r>
      <w:r>
        <w:t xml:space="preserve"> </w:t>
      </w:r>
      <w:r w:rsidRPr="0010688F">
        <w:t xml:space="preserve">Provide equitable support to all faculty </w:t>
      </w:r>
      <w:r>
        <w:t>pursuing external funding</w:t>
      </w:r>
      <w:r w:rsidRPr="00DB67D2">
        <w:t xml:space="preserve"> </w:t>
      </w:r>
      <w:r w:rsidRPr="0010688F">
        <w:t>during the pre-award process</w:t>
      </w:r>
      <w:r>
        <w:t>, which should be seamless. S</w:t>
      </w:r>
      <w:r w:rsidRPr="0010688F">
        <w:t>upport may best be provided through</w:t>
      </w:r>
      <w:r>
        <w:t xml:space="preserve"> the</w:t>
      </w:r>
      <w:r w:rsidRPr="0010688F">
        <w:t xml:space="preserve"> local </w:t>
      </w:r>
      <w:r>
        <w:t xml:space="preserve">unit </w:t>
      </w:r>
      <w:r w:rsidRPr="0010688F">
        <w:t xml:space="preserve">or </w:t>
      </w:r>
      <w:r>
        <w:t xml:space="preserve">through centralized </w:t>
      </w:r>
      <w:r w:rsidRPr="0010688F">
        <w:t xml:space="preserve">units depending on existing resources, </w:t>
      </w:r>
      <w:r>
        <w:t xml:space="preserve">expertise, </w:t>
      </w:r>
      <w:r w:rsidRPr="0010688F">
        <w:t>current workload, and demand</w:t>
      </w:r>
      <w:r>
        <w:t>.</w:t>
      </w:r>
    </w:p>
    <w:p w:rsidR="00814AD0" w:rsidRDefault="00814AD0" w:rsidP="007708CF">
      <w:pPr>
        <w:pStyle w:val="ListParagraph"/>
        <w:numPr>
          <w:ilvl w:val="0"/>
          <w:numId w:val="36"/>
        </w:numPr>
      </w:pPr>
      <w:r w:rsidRPr="007708CF">
        <w:rPr>
          <w:b/>
        </w:rPr>
        <w:t>Recommendation 5</w:t>
      </w:r>
      <w:r>
        <w:t xml:space="preserve">: Improve systems and processes to make them more efficient, reduce the administrative burden on faculty, and deliver a consistent message to our internal and external partners. </w:t>
      </w:r>
    </w:p>
    <w:p w:rsidR="00814AD0" w:rsidRPr="007708CF" w:rsidRDefault="00814AD0" w:rsidP="007708CF">
      <w:pPr>
        <w:pStyle w:val="ListParagraph"/>
        <w:numPr>
          <w:ilvl w:val="0"/>
          <w:numId w:val="36"/>
        </w:numPr>
        <w:rPr>
          <w:b/>
        </w:rPr>
      </w:pPr>
      <w:r w:rsidRPr="007708CF">
        <w:rPr>
          <w:b/>
        </w:rPr>
        <w:t>Recommendation 6</w:t>
      </w:r>
      <w:r>
        <w:t xml:space="preserve">: </w:t>
      </w:r>
      <w:r w:rsidRPr="0010688F">
        <w:t>Enable all faculty to access research development support infrastructure</w:t>
      </w:r>
      <w:r w:rsidR="007219B4">
        <w:t>.</w:t>
      </w:r>
    </w:p>
    <w:p w:rsidR="00814AD0" w:rsidRDefault="00814AD0" w:rsidP="007708CF">
      <w:pPr>
        <w:pStyle w:val="ListParagraph"/>
        <w:numPr>
          <w:ilvl w:val="0"/>
          <w:numId w:val="36"/>
        </w:numPr>
      </w:pPr>
      <w:r w:rsidRPr="007708CF">
        <w:rPr>
          <w:b/>
        </w:rPr>
        <w:t>Recommendation 7</w:t>
      </w:r>
      <w:r w:rsidRPr="00016BE1">
        <w:t>: Increase the visibility of faculty research, grants/awards, and professional success among internal and external audiences through enhanced science communications (joint with Communications committee).</w:t>
      </w:r>
    </w:p>
    <w:p w:rsidR="00814AD0" w:rsidRPr="007708CF" w:rsidRDefault="00814AD0" w:rsidP="007708CF">
      <w:pPr>
        <w:pStyle w:val="ListParagraph"/>
        <w:numPr>
          <w:ilvl w:val="0"/>
          <w:numId w:val="36"/>
        </w:numPr>
        <w:rPr>
          <w:rFonts w:ascii="Calibri" w:hAnsi="Calibri" w:cs="Calibri"/>
          <w:color w:val="201F1E"/>
        </w:rPr>
      </w:pPr>
      <w:r w:rsidRPr="007708CF">
        <w:rPr>
          <w:rFonts w:ascii="Calibri" w:hAnsi="Calibri" w:cs="Calibri"/>
          <w:b/>
          <w:color w:val="201F1E"/>
        </w:rPr>
        <w:t>Recommendation 8</w:t>
      </w:r>
      <w:r w:rsidRPr="007708CF">
        <w:rPr>
          <w:rFonts w:ascii="Calibri" w:hAnsi="Calibri" w:cs="Calibri"/>
          <w:color w:val="201F1E"/>
        </w:rPr>
        <w:t xml:space="preserve">: Coordinate research integrity and laboratory safety activities across UTIA and UTK to ensure consistency. </w:t>
      </w:r>
    </w:p>
    <w:p w:rsidR="00814AD0" w:rsidRDefault="00814AD0" w:rsidP="00814AD0">
      <w:pPr>
        <w:rPr>
          <w:rFonts w:ascii="Calibri" w:hAnsi="Calibri" w:cs="Calibri"/>
          <w:color w:val="201F1E"/>
        </w:rPr>
      </w:pPr>
    </w:p>
    <w:p w:rsidR="005D284A" w:rsidRDefault="005D284A" w:rsidP="005D284A">
      <w:pPr>
        <w:ind w:right="-720"/>
        <w:rPr>
          <w:b/>
          <w:color w:val="000000" w:themeColor="text1"/>
        </w:rPr>
      </w:pPr>
      <w:r>
        <w:rPr>
          <w:b/>
          <w:color w:val="000000" w:themeColor="text1"/>
        </w:rPr>
        <w:t>Presentation and discussion – Matthew Mench</w:t>
      </w:r>
    </w:p>
    <w:p w:rsidR="005D284A" w:rsidRDefault="005D284A" w:rsidP="00814AD0">
      <w:pPr>
        <w:rPr>
          <w:rFonts w:ascii="Calibri" w:hAnsi="Calibri" w:cs="Calibri"/>
          <w:color w:val="201F1E"/>
        </w:rPr>
      </w:pPr>
      <w:r>
        <w:rPr>
          <w:rFonts w:ascii="Calibri" w:hAnsi="Calibri" w:cs="Calibri"/>
          <w:color w:val="201F1E"/>
        </w:rPr>
        <w:t>Matthew Mench discussed several updates:</w:t>
      </w:r>
    </w:p>
    <w:p w:rsidR="005D284A" w:rsidRDefault="005D284A" w:rsidP="005D284A">
      <w:pPr>
        <w:pStyle w:val="ListParagraph"/>
        <w:numPr>
          <w:ilvl w:val="0"/>
          <w:numId w:val="37"/>
        </w:numPr>
        <w:rPr>
          <w:rFonts w:ascii="Calibri" w:hAnsi="Calibri" w:cs="Calibri"/>
          <w:color w:val="201F1E"/>
        </w:rPr>
      </w:pPr>
      <w:r>
        <w:rPr>
          <w:rFonts w:ascii="Calibri" w:hAnsi="Calibri" w:cs="Calibri"/>
          <w:color w:val="201F1E"/>
        </w:rPr>
        <w:t>Computing Resources:  The ACF is located in OIT.   There are five new positions dedicated to resource computing.  Recommends Chris Cimino and Joel Reeves provide an update the committee in the future.</w:t>
      </w:r>
      <w:r w:rsidR="00A113A7">
        <w:rPr>
          <w:rFonts w:ascii="Calibri" w:hAnsi="Calibri" w:cs="Calibri"/>
          <w:color w:val="201F1E"/>
        </w:rPr>
        <w:t xml:space="preserve"> </w:t>
      </w:r>
    </w:p>
    <w:p w:rsidR="005D284A" w:rsidRDefault="005D284A" w:rsidP="005D284A">
      <w:pPr>
        <w:pStyle w:val="ListParagraph"/>
        <w:numPr>
          <w:ilvl w:val="0"/>
          <w:numId w:val="37"/>
        </w:numPr>
        <w:rPr>
          <w:rFonts w:ascii="Calibri" w:hAnsi="Calibri" w:cs="Calibri"/>
          <w:color w:val="201F1E"/>
        </w:rPr>
      </w:pPr>
      <w:r>
        <w:rPr>
          <w:rFonts w:ascii="Calibri" w:hAnsi="Calibri" w:cs="Calibri"/>
          <w:color w:val="201F1E"/>
        </w:rPr>
        <w:t xml:space="preserve">Interim Role of VCR:  Part of the role is to take an assessment of and advocate for ORE especially during the transition to the new budget model. Observations thus far is that the VCR position being in the Chancellor’s cabinet is critical.  The future of ORE is strategic and involved in campus research.  </w:t>
      </w:r>
    </w:p>
    <w:p w:rsidR="005D284A" w:rsidRDefault="005D284A" w:rsidP="005D284A">
      <w:pPr>
        <w:pStyle w:val="ListParagraph"/>
        <w:numPr>
          <w:ilvl w:val="0"/>
          <w:numId w:val="37"/>
        </w:numPr>
        <w:rPr>
          <w:rFonts w:ascii="Calibri" w:hAnsi="Calibri" w:cs="Calibri"/>
          <w:color w:val="201F1E"/>
        </w:rPr>
      </w:pPr>
      <w:r>
        <w:rPr>
          <w:rFonts w:ascii="Calibri" w:hAnsi="Calibri" w:cs="Calibri"/>
          <w:color w:val="201F1E"/>
        </w:rPr>
        <w:t>Joint Institutes will be reviewed as a part of the Oak Ridge Institute development.</w:t>
      </w:r>
    </w:p>
    <w:p w:rsidR="005D284A" w:rsidRDefault="00A113A7" w:rsidP="005D284A">
      <w:pPr>
        <w:pStyle w:val="ListParagraph"/>
        <w:numPr>
          <w:ilvl w:val="0"/>
          <w:numId w:val="37"/>
        </w:numPr>
        <w:rPr>
          <w:rFonts w:ascii="Calibri" w:hAnsi="Calibri" w:cs="Calibri"/>
          <w:color w:val="201F1E"/>
        </w:rPr>
      </w:pPr>
      <w:r>
        <w:rPr>
          <w:rFonts w:ascii="Calibri" w:hAnsi="Calibri" w:cs="Calibri"/>
          <w:color w:val="201F1E"/>
        </w:rPr>
        <w:t>The state of ORE in relation to campus infrastructure is to ensure the right resources are available, find areas to grow, what is holding us back, and what are the opportunities?</w:t>
      </w:r>
    </w:p>
    <w:p w:rsidR="00A113A7" w:rsidRDefault="00A113A7" w:rsidP="00A113A7">
      <w:pPr>
        <w:pStyle w:val="ListParagraph"/>
        <w:numPr>
          <w:ilvl w:val="1"/>
          <w:numId w:val="37"/>
        </w:numPr>
        <w:rPr>
          <w:rFonts w:ascii="Calibri" w:hAnsi="Calibri" w:cs="Calibri"/>
          <w:color w:val="201F1E"/>
        </w:rPr>
      </w:pPr>
      <w:r>
        <w:rPr>
          <w:rFonts w:ascii="Calibri" w:hAnsi="Calibri" w:cs="Calibri"/>
          <w:color w:val="201F1E"/>
        </w:rPr>
        <w:t xml:space="preserve">RC Statement: Some buildings make it difficult to install equipment and impacts research agenda. </w:t>
      </w:r>
    </w:p>
    <w:p w:rsidR="00A113A7" w:rsidRDefault="00A113A7" w:rsidP="00A113A7">
      <w:pPr>
        <w:pStyle w:val="ListParagraph"/>
        <w:numPr>
          <w:ilvl w:val="0"/>
          <w:numId w:val="37"/>
        </w:numPr>
        <w:rPr>
          <w:rFonts w:ascii="Calibri" w:hAnsi="Calibri" w:cs="Calibri"/>
          <w:color w:val="201F1E"/>
        </w:rPr>
      </w:pPr>
      <w:r>
        <w:rPr>
          <w:rFonts w:ascii="Calibri" w:hAnsi="Calibri" w:cs="Calibri"/>
          <w:color w:val="201F1E"/>
        </w:rPr>
        <w:t>Core Facilities is also valuable by replacement of central critical equipment as well as new, innovative research equipment.</w:t>
      </w:r>
    </w:p>
    <w:p w:rsidR="00A113A7" w:rsidRPr="005D284A" w:rsidRDefault="00A113A7" w:rsidP="00A113A7">
      <w:pPr>
        <w:pStyle w:val="ListParagraph"/>
        <w:numPr>
          <w:ilvl w:val="0"/>
          <w:numId w:val="37"/>
        </w:numPr>
        <w:rPr>
          <w:rFonts w:ascii="Calibri" w:hAnsi="Calibri" w:cs="Calibri"/>
          <w:color w:val="201F1E"/>
        </w:rPr>
      </w:pPr>
      <w:r>
        <w:rPr>
          <w:rFonts w:ascii="Calibri" w:hAnsi="Calibri" w:cs="Calibri"/>
          <w:color w:val="201F1E"/>
        </w:rPr>
        <w:t>The Research Council will have the opportunity to review the assessment report before submitting to the Chancellor.</w:t>
      </w:r>
    </w:p>
    <w:p w:rsidR="00585E74" w:rsidRPr="00814AD0" w:rsidRDefault="00585E74" w:rsidP="003D24FC">
      <w:pPr>
        <w:tabs>
          <w:tab w:val="left" w:pos="6187"/>
        </w:tabs>
        <w:ind w:right="-720"/>
      </w:pPr>
    </w:p>
    <w:p w:rsidR="00FA03E3" w:rsidRDefault="00FA03E3" w:rsidP="00FA03E3">
      <w:pPr>
        <w:ind w:left="-180" w:right="-720"/>
      </w:pPr>
      <w:r w:rsidRPr="00941D01">
        <w:rPr>
          <w:color w:val="002060"/>
        </w:rPr>
        <w:t>Adjournment:</w:t>
      </w:r>
      <w:r>
        <w:rPr>
          <w:color w:val="002060"/>
        </w:rPr>
        <w:t xml:space="preserve">  </w:t>
      </w:r>
      <w:r>
        <w:t xml:space="preserve">The </w:t>
      </w:r>
      <w:r w:rsidR="00963F39">
        <w:t xml:space="preserve">Chair adjourned the meeting at </w:t>
      </w:r>
      <w:r w:rsidR="008E1B0B">
        <w:t>4:</w:t>
      </w:r>
      <w:r w:rsidR="00A113A7">
        <w:t>17</w:t>
      </w:r>
      <w:r w:rsidR="00963F39">
        <w:t xml:space="preserve"> </w:t>
      </w:r>
      <w:r>
        <w:t xml:space="preserve">pm.  </w:t>
      </w:r>
    </w:p>
    <w:p w:rsidR="00FA03E3" w:rsidRDefault="00FA03E3" w:rsidP="00FA03E3">
      <w:pPr>
        <w:ind w:left="-180" w:right="-720"/>
      </w:pPr>
      <w:r>
        <w:rPr>
          <w:color w:val="002060"/>
        </w:rPr>
        <w:t>M</w:t>
      </w:r>
      <w:r w:rsidRPr="00941D01">
        <w:rPr>
          <w:color w:val="002060"/>
        </w:rPr>
        <w:t xml:space="preserve">inutes submitted by: </w:t>
      </w:r>
      <w:r>
        <w:rPr>
          <w:color w:val="002060"/>
        </w:rPr>
        <w:t xml:space="preserve">  </w:t>
      </w:r>
      <w:r>
        <w:t>Paula Brown</w:t>
      </w:r>
    </w:p>
    <w:p w:rsidR="00A113A7" w:rsidRDefault="00FA03E3" w:rsidP="008E1B0B">
      <w:pPr>
        <w:tabs>
          <w:tab w:val="left" w:pos="6187"/>
        </w:tabs>
        <w:ind w:left="-180" w:right="-720"/>
        <w:rPr>
          <w:color w:val="000000" w:themeColor="text1"/>
        </w:rPr>
      </w:pPr>
      <w:r>
        <w:rPr>
          <w:color w:val="002060"/>
        </w:rPr>
        <w:t xml:space="preserve">Next Meeting:  </w:t>
      </w:r>
      <w:r w:rsidR="007219B4">
        <w:rPr>
          <w:color w:val="000000" w:themeColor="text1"/>
        </w:rPr>
        <w:t>March 11</w:t>
      </w:r>
      <w:r w:rsidR="00970EB5">
        <w:rPr>
          <w:color w:val="000000" w:themeColor="text1"/>
        </w:rPr>
        <w:t>, 2020</w:t>
      </w:r>
      <w:r w:rsidRPr="00E35D81">
        <w:rPr>
          <w:color w:val="000000" w:themeColor="text1"/>
        </w:rPr>
        <w:t xml:space="preserve"> @3:30 pm in Blount Hall A004.</w:t>
      </w:r>
    </w:p>
    <w:sectPr w:rsidR="00A113A7" w:rsidSect="00066870">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51" w:rsidRDefault="002E3F51" w:rsidP="0066592C">
      <w:r>
        <w:separator/>
      </w:r>
    </w:p>
  </w:endnote>
  <w:endnote w:type="continuationSeparator" w:id="0">
    <w:p w:rsidR="002E3F51" w:rsidRDefault="002E3F51"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2C19D3">
      <w:rPr>
        <w:sz w:val="16"/>
      </w:rPr>
      <w:t>02-12</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0A60F4" w:rsidRPr="000A60F4">
          <w:rPr>
            <w:noProof/>
            <w:sz w:val="16"/>
          </w:rPr>
          <w:t>1</w:t>
        </w:r>
        <w:r w:rsidR="00C82993">
          <w:rPr>
            <w:noProof/>
            <w:sz w:val="16"/>
          </w:rPr>
          <w:fldChar w:fldCharType="end"/>
        </w:r>
      </w:sdtContent>
    </w:sdt>
  </w:p>
  <w:p w:rsidR="00941D01" w:rsidRPr="00941D01" w:rsidRDefault="002E3F51" w:rsidP="00941D01">
    <w:pPr>
      <w:pStyle w:val="Footer"/>
      <w:jc w:val="righ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51" w:rsidRDefault="002E3F51" w:rsidP="0066592C">
      <w:r>
        <w:separator/>
      </w:r>
    </w:p>
  </w:footnote>
  <w:footnote w:type="continuationSeparator" w:id="0">
    <w:p w:rsidR="002E3F51" w:rsidRDefault="002E3F51"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2" w:rsidRDefault="00EA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2BD1274"/>
    <w:multiLevelType w:val="hybridMultilevel"/>
    <w:tmpl w:val="209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FB0"/>
    <w:multiLevelType w:val="hybridMultilevel"/>
    <w:tmpl w:val="67D0135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10" w15:restartNumberingAfterBreak="0">
    <w:nsid w:val="25A74021"/>
    <w:multiLevelType w:val="hybridMultilevel"/>
    <w:tmpl w:val="0F267126"/>
    <w:lvl w:ilvl="0" w:tplc="11A8A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70F1D"/>
    <w:multiLevelType w:val="hybridMultilevel"/>
    <w:tmpl w:val="E6C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0C1109"/>
    <w:multiLevelType w:val="hybridMultilevel"/>
    <w:tmpl w:val="5E50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8" w15:restartNumberingAfterBreak="0">
    <w:nsid w:val="396344B3"/>
    <w:multiLevelType w:val="hybridMultilevel"/>
    <w:tmpl w:val="A9F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A9827E4"/>
    <w:multiLevelType w:val="hybridMultilevel"/>
    <w:tmpl w:val="0D4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CA27F46"/>
    <w:multiLevelType w:val="hybridMultilevel"/>
    <w:tmpl w:val="8622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D4B4E"/>
    <w:multiLevelType w:val="hybridMultilevel"/>
    <w:tmpl w:val="7A72045C"/>
    <w:lvl w:ilvl="0" w:tplc="95C2A074">
      <w:start w:val="1"/>
      <w:numFmt w:val="bullet"/>
      <w:lvlText w:val="•"/>
      <w:lvlJc w:val="left"/>
      <w:pPr>
        <w:tabs>
          <w:tab w:val="num" w:pos="720"/>
        </w:tabs>
        <w:ind w:left="720" w:hanging="360"/>
      </w:pPr>
      <w:rPr>
        <w:rFonts w:ascii="Arial" w:hAnsi="Arial" w:hint="default"/>
      </w:rPr>
    </w:lvl>
    <w:lvl w:ilvl="1" w:tplc="0A187822" w:tentative="1">
      <w:start w:val="1"/>
      <w:numFmt w:val="bullet"/>
      <w:lvlText w:val="•"/>
      <w:lvlJc w:val="left"/>
      <w:pPr>
        <w:tabs>
          <w:tab w:val="num" w:pos="1440"/>
        </w:tabs>
        <w:ind w:left="1440" w:hanging="360"/>
      </w:pPr>
      <w:rPr>
        <w:rFonts w:ascii="Arial" w:hAnsi="Arial" w:hint="default"/>
      </w:rPr>
    </w:lvl>
    <w:lvl w:ilvl="2" w:tplc="12360582" w:tentative="1">
      <w:start w:val="1"/>
      <w:numFmt w:val="bullet"/>
      <w:lvlText w:val="•"/>
      <w:lvlJc w:val="left"/>
      <w:pPr>
        <w:tabs>
          <w:tab w:val="num" w:pos="2160"/>
        </w:tabs>
        <w:ind w:left="2160" w:hanging="360"/>
      </w:pPr>
      <w:rPr>
        <w:rFonts w:ascii="Arial" w:hAnsi="Arial" w:hint="default"/>
      </w:rPr>
    </w:lvl>
    <w:lvl w:ilvl="3" w:tplc="A1A001A2" w:tentative="1">
      <w:start w:val="1"/>
      <w:numFmt w:val="bullet"/>
      <w:lvlText w:val="•"/>
      <w:lvlJc w:val="left"/>
      <w:pPr>
        <w:tabs>
          <w:tab w:val="num" w:pos="2880"/>
        </w:tabs>
        <w:ind w:left="2880" w:hanging="360"/>
      </w:pPr>
      <w:rPr>
        <w:rFonts w:ascii="Arial" w:hAnsi="Arial" w:hint="default"/>
      </w:rPr>
    </w:lvl>
    <w:lvl w:ilvl="4" w:tplc="ED44FBAE" w:tentative="1">
      <w:start w:val="1"/>
      <w:numFmt w:val="bullet"/>
      <w:lvlText w:val="•"/>
      <w:lvlJc w:val="left"/>
      <w:pPr>
        <w:tabs>
          <w:tab w:val="num" w:pos="3600"/>
        </w:tabs>
        <w:ind w:left="3600" w:hanging="360"/>
      </w:pPr>
      <w:rPr>
        <w:rFonts w:ascii="Arial" w:hAnsi="Arial" w:hint="default"/>
      </w:rPr>
    </w:lvl>
    <w:lvl w:ilvl="5" w:tplc="E4EA9E24" w:tentative="1">
      <w:start w:val="1"/>
      <w:numFmt w:val="bullet"/>
      <w:lvlText w:val="•"/>
      <w:lvlJc w:val="left"/>
      <w:pPr>
        <w:tabs>
          <w:tab w:val="num" w:pos="4320"/>
        </w:tabs>
        <w:ind w:left="4320" w:hanging="360"/>
      </w:pPr>
      <w:rPr>
        <w:rFonts w:ascii="Arial" w:hAnsi="Arial" w:hint="default"/>
      </w:rPr>
    </w:lvl>
    <w:lvl w:ilvl="6" w:tplc="69184AAA" w:tentative="1">
      <w:start w:val="1"/>
      <w:numFmt w:val="bullet"/>
      <w:lvlText w:val="•"/>
      <w:lvlJc w:val="left"/>
      <w:pPr>
        <w:tabs>
          <w:tab w:val="num" w:pos="5040"/>
        </w:tabs>
        <w:ind w:left="5040" w:hanging="360"/>
      </w:pPr>
      <w:rPr>
        <w:rFonts w:ascii="Arial" w:hAnsi="Arial" w:hint="default"/>
      </w:rPr>
    </w:lvl>
    <w:lvl w:ilvl="7" w:tplc="DA64BFE4" w:tentative="1">
      <w:start w:val="1"/>
      <w:numFmt w:val="bullet"/>
      <w:lvlText w:val="•"/>
      <w:lvlJc w:val="left"/>
      <w:pPr>
        <w:tabs>
          <w:tab w:val="num" w:pos="5760"/>
        </w:tabs>
        <w:ind w:left="5760" w:hanging="360"/>
      </w:pPr>
      <w:rPr>
        <w:rFonts w:ascii="Arial" w:hAnsi="Arial" w:hint="default"/>
      </w:rPr>
    </w:lvl>
    <w:lvl w:ilvl="8" w:tplc="0A1C51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36"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6"/>
  </w:num>
  <w:num w:numId="3">
    <w:abstractNumId w:val="13"/>
  </w:num>
  <w:num w:numId="4">
    <w:abstractNumId w:val="1"/>
  </w:num>
  <w:num w:numId="5">
    <w:abstractNumId w:val="5"/>
  </w:num>
  <w:num w:numId="6">
    <w:abstractNumId w:val="28"/>
  </w:num>
  <w:num w:numId="7">
    <w:abstractNumId w:val="17"/>
  </w:num>
  <w:num w:numId="8">
    <w:abstractNumId w:val="35"/>
  </w:num>
  <w:num w:numId="9">
    <w:abstractNumId w:val="11"/>
  </w:num>
  <w:num w:numId="10">
    <w:abstractNumId w:val="9"/>
  </w:num>
  <w:num w:numId="11">
    <w:abstractNumId w:val="23"/>
  </w:num>
  <w:num w:numId="12">
    <w:abstractNumId w:val="21"/>
  </w:num>
  <w:num w:numId="13">
    <w:abstractNumId w:val="36"/>
  </w:num>
  <w:num w:numId="14">
    <w:abstractNumId w:val="24"/>
  </w:num>
  <w:num w:numId="15">
    <w:abstractNumId w:val="4"/>
  </w:num>
  <w:num w:numId="16">
    <w:abstractNumId w:val="0"/>
  </w:num>
  <w:num w:numId="17">
    <w:abstractNumId w:val="19"/>
  </w:num>
  <w:num w:numId="18">
    <w:abstractNumId w:val="2"/>
  </w:num>
  <w:num w:numId="19">
    <w:abstractNumId w:val="25"/>
  </w:num>
  <w:num w:numId="20">
    <w:abstractNumId w:val="16"/>
  </w:num>
  <w:num w:numId="21">
    <w:abstractNumId w:val="3"/>
  </w:num>
  <w:num w:numId="22">
    <w:abstractNumId w:val="22"/>
  </w:num>
  <w:num w:numId="23">
    <w:abstractNumId w:val="34"/>
  </w:num>
  <w:num w:numId="24">
    <w:abstractNumId w:val="6"/>
  </w:num>
  <w:num w:numId="25">
    <w:abstractNumId w:val="15"/>
  </w:num>
  <w:num w:numId="26">
    <w:abstractNumId w:val="33"/>
  </w:num>
  <w:num w:numId="27">
    <w:abstractNumId w:val="30"/>
  </w:num>
  <w:num w:numId="28">
    <w:abstractNumId w:val="32"/>
  </w:num>
  <w:num w:numId="29">
    <w:abstractNumId w:val="27"/>
  </w:num>
  <w:num w:numId="30">
    <w:abstractNumId w:val="31"/>
  </w:num>
  <w:num w:numId="31">
    <w:abstractNumId w:val="8"/>
  </w:num>
  <w:num w:numId="32">
    <w:abstractNumId w:val="12"/>
  </w:num>
  <w:num w:numId="33">
    <w:abstractNumId w:val="10"/>
  </w:num>
  <w:num w:numId="34">
    <w:abstractNumId w:val="20"/>
  </w:num>
  <w:num w:numId="35">
    <w:abstractNumId w:val="18"/>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0502"/>
    <w:rsid w:val="00011348"/>
    <w:rsid w:val="00014102"/>
    <w:rsid w:val="00016490"/>
    <w:rsid w:val="00020107"/>
    <w:rsid w:val="0002211F"/>
    <w:rsid w:val="0002296D"/>
    <w:rsid w:val="00023ECA"/>
    <w:rsid w:val="00030737"/>
    <w:rsid w:val="000310C2"/>
    <w:rsid w:val="00066870"/>
    <w:rsid w:val="00086A87"/>
    <w:rsid w:val="00090524"/>
    <w:rsid w:val="00090A52"/>
    <w:rsid w:val="000A60F4"/>
    <w:rsid w:val="000A71E9"/>
    <w:rsid w:val="000B32E5"/>
    <w:rsid w:val="000B67BD"/>
    <w:rsid w:val="000F5510"/>
    <w:rsid w:val="000F6002"/>
    <w:rsid w:val="000F64B1"/>
    <w:rsid w:val="000F799F"/>
    <w:rsid w:val="00113874"/>
    <w:rsid w:val="00117FB9"/>
    <w:rsid w:val="0013248F"/>
    <w:rsid w:val="001378B7"/>
    <w:rsid w:val="00147010"/>
    <w:rsid w:val="001534E4"/>
    <w:rsid w:val="00164296"/>
    <w:rsid w:val="001700FF"/>
    <w:rsid w:val="0017061E"/>
    <w:rsid w:val="001C3DB1"/>
    <w:rsid w:val="001C59D8"/>
    <w:rsid w:val="001C6D97"/>
    <w:rsid w:val="001D05D4"/>
    <w:rsid w:val="001D4236"/>
    <w:rsid w:val="001E43E3"/>
    <w:rsid w:val="001F158B"/>
    <w:rsid w:val="001F353D"/>
    <w:rsid w:val="001F439D"/>
    <w:rsid w:val="001F6C05"/>
    <w:rsid w:val="00230534"/>
    <w:rsid w:val="00237277"/>
    <w:rsid w:val="002466AD"/>
    <w:rsid w:val="00250747"/>
    <w:rsid w:val="00252D06"/>
    <w:rsid w:val="00257125"/>
    <w:rsid w:val="00261098"/>
    <w:rsid w:val="002872F1"/>
    <w:rsid w:val="00291C8E"/>
    <w:rsid w:val="00293EFE"/>
    <w:rsid w:val="00297419"/>
    <w:rsid w:val="002A0109"/>
    <w:rsid w:val="002B71BA"/>
    <w:rsid w:val="002C0EFE"/>
    <w:rsid w:val="002C19D3"/>
    <w:rsid w:val="002D7A39"/>
    <w:rsid w:val="002E16F5"/>
    <w:rsid w:val="002E3F51"/>
    <w:rsid w:val="003060E4"/>
    <w:rsid w:val="00313051"/>
    <w:rsid w:val="00314E4C"/>
    <w:rsid w:val="00323EC0"/>
    <w:rsid w:val="00330ACE"/>
    <w:rsid w:val="00331F0E"/>
    <w:rsid w:val="00335B5B"/>
    <w:rsid w:val="0035157C"/>
    <w:rsid w:val="00372C12"/>
    <w:rsid w:val="0038701C"/>
    <w:rsid w:val="0039146F"/>
    <w:rsid w:val="003A088D"/>
    <w:rsid w:val="003D04A0"/>
    <w:rsid w:val="003D24FC"/>
    <w:rsid w:val="003D5878"/>
    <w:rsid w:val="003E2A7E"/>
    <w:rsid w:val="003E2EBC"/>
    <w:rsid w:val="003F1B1F"/>
    <w:rsid w:val="003F6C07"/>
    <w:rsid w:val="00404E75"/>
    <w:rsid w:val="00406B98"/>
    <w:rsid w:val="00412F32"/>
    <w:rsid w:val="004416D3"/>
    <w:rsid w:val="004568F8"/>
    <w:rsid w:val="0046298F"/>
    <w:rsid w:val="00472236"/>
    <w:rsid w:val="00480942"/>
    <w:rsid w:val="00485353"/>
    <w:rsid w:val="004864EB"/>
    <w:rsid w:val="004900AA"/>
    <w:rsid w:val="00491C62"/>
    <w:rsid w:val="00492DE4"/>
    <w:rsid w:val="00495847"/>
    <w:rsid w:val="004A39E5"/>
    <w:rsid w:val="004B7A0F"/>
    <w:rsid w:val="004C0721"/>
    <w:rsid w:val="004C2C8A"/>
    <w:rsid w:val="004D45B4"/>
    <w:rsid w:val="004D5C69"/>
    <w:rsid w:val="004E0590"/>
    <w:rsid w:val="004F0313"/>
    <w:rsid w:val="004F3B7A"/>
    <w:rsid w:val="0050720E"/>
    <w:rsid w:val="00510294"/>
    <w:rsid w:val="00515A1B"/>
    <w:rsid w:val="00517DA1"/>
    <w:rsid w:val="0055656D"/>
    <w:rsid w:val="00556621"/>
    <w:rsid w:val="00560D3E"/>
    <w:rsid w:val="00561077"/>
    <w:rsid w:val="00574660"/>
    <w:rsid w:val="00574F38"/>
    <w:rsid w:val="00584DD5"/>
    <w:rsid w:val="00585E74"/>
    <w:rsid w:val="00592C7B"/>
    <w:rsid w:val="005A1599"/>
    <w:rsid w:val="005A4F02"/>
    <w:rsid w:val="005B7429"/>
    <w:rsid w:val="005C7586"/>
    <w:rsid w:val="005D199C"/>
    <w:rsid w:val="005D284A"/>
    <w:rsid w:val="005D65BA"/>
    <w:rsid w:val="005D7E17"/>
    <w:rsid w:val="005F2C30"/>
    <w:rsid w:val="00600615"/>
    <w:rsid w:val="006059FC"/>
    <w:rsid w:val="00630A54"/>
    <w:rsid w:val="00632361"/>
    <w:rsid w:val="006418A3"/>
    <w:rsid w:val="00643E18"/>
    <w:rsid w:val="00647F7E"/>
    <w:rsid w:val="0066592C"/>
    <w:rsid w:val="00670242"/>
    <w:rsid w:val="0067565C"/>
    <w:rsid w:val="0067607E"/>
    <w:rsid w:val="00676A8F"/>
    <w:rsid w:val="00677D28"/>
    <w:rsid w:val="00681E16"/>
    <w:rsid w:val="00685CC3"/>
    <w:rsid w:val="00685D3E"/>
    <w:rsid w:val="00690446"/>
    <w:rsid w:val="006A3D51"/>
    <w:rsid w:val="006B15B0"/>
    <w:rsid w:val="006B65E9"/>
    <w:rsid w:val="006C0CDC"/>
    <w:rsid w:val="006C77B4"/>
    <w:rsid w:val="006D04CF"/>
    <w:rsid w:val="006D4010"/>
    <w:rsid w:val="006D4593"/>
    <w:rsid w:val="006E7A21"/>
    <w:rsid w:val="006F305A"/>
    <w:rsid w:val="006F4E4F"/>
    <w:rsid w:val="00700069"/>
    <w:rsid w:val="007023BB"/>
    <w:rsid w:val="0070417B"/>
    <w:rsid w:val="00715B31"/>
    <w:rsid w:val="007165F0"/>
    <w:rsid w:val="00717311"/>
    <w:rsid w:val="007219B4"/>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B500A"/>
    <w:rsid w:val="007C5775"/>
    <w:rsid w:val="007D4B3A"/>
    <w:rsid w:val="007D585C"/>
    <w:rsid w:val="007D7C1B"/>
    <w:rsid w:val="007E26E6"/>
    <w:rsid w:val="007E36F9"/>
    <w:rsid w:val="00810B0D"/>
    <w:rsid w:val="00814AD0"/>
    <w:rsid w:val="00820E5E"/>
    <w:rsid w:val="00824873"/>
    <w:rsid w:val="0082722B"/>
    <w:rsid w:val="008338B8"/>
    <w:rsid w:val="00833AD1"/>
    <w:rsid w:val="0083507E"/>
    <w:rsid w:val="00836528"/>
    <w:rsid w:val="0083699C"/>
    <w:rsid w:val="00844F1C"/>
    <w:rsid w:val="00847A24"/>
    <w:rsid w:val="00874EE3"/>
    <w:rsid w:val="008770A7"/>
    <w:rsid w:val="00887418"/>
    <w:rsid w:val="00895DCB"/>
    <w:rsid w:val="008A72EC"/>
    <w:rsid w:val="008C4D28"/>
    <w:rsid w:val="008D18E3"/>
    <w:rsid w:val="008D5884"/>
    <w:rsid w:val="008E019B"/>
    <w:rsid w:val="008E1B0B"/>
    <w:rsid w:val="008F2E65"/>
    <w:rsid w:val="008F55D4"/>
    <w:rsid w:val="009065F6"/>
    <w:rsid w:val="00907BD9"/>
    <w:rsid w:val="009138FA"/>
    <w:rsid w:val="009148AA"/>
    <w:rsid w:val="00927B9F"/>
    <w:rsid w:val="00934FE4"/>
    <w:rsid w:val="00945F21"/>
    <w:rsid w:val="00953A68"/>
    <w:rsid w:val="009551A6"/>
    <w:rsid w:val="00955904"/>
    <w:rsid w:val="00963F39"/>
    <w:rsid w:val="00964308"/>
    <w:rsid w:val="00964959"/>
    <w:rsid w:val="00967949"/>
    <w:rsid w:val="00970EB5"/>
    <w:rsid w:val="00973FAA"/>
    <w:rsid w:val="00974FFB"/>
    <w:rsid w:val="00986527"/>
    <w:rsid w:val="00994F49"/>
    <w:rsid w:val="009A2A87"/>
    <w:rsid w:val="009B00F2"/>
    <w:rsid w:val="009C2CEB"/>
    <w:rsid w:val="009E0EDC"/>
    <w:rsid w:val="009F2885"/>
    <w:rsid w:val="009F5179"/>
    <w:rsid w:val="00A050FF"/>
    <w:rsid w:val="00A113A7"/>
    <w:rsid w:val="00A1530B"/>
    <w:rsid w:val="00A64360"/>
    <w:rsid w:val="00A710DB"/>
    <w:rsid w:val="00A71489"/>
    <w:rsid w:val="00A77147"/>
    <w:rsid w:val="00A9303F"/>
    <w:rsid w:val="00AA76F9"/>
    <w:rsid w:val="00AC0F64"/>
    <w:rsid w:val="00AC2B50"/>
    <w:rsid w:val="00AC6939"/>
    <w:rsid w:val="00AD17B5"/>
    <w:rsid w:val="00AE37BC"/>
    <w:rsid w:val="00AE576E"/>
    <w:rsid w:val="00B01D72"/>
    <w:rsid w:val="00B07198"/>
    <w:rsid w:val="00B15BFB"/>
    <w:rsid w:val="00B23ED7"/>
    <w:rsid w:val="00B240F6"/>
    <w:rsid w:val="00B258FF"/>
    <w:rsid w:val="00B27471"/>
    <w:rsid w:val="00B27807"/>
    <w:rsid w:val="00B32EDA"/>
    <w:rsid w:val="00B366B6"/>
    <w:rsid w:val="00B4542C"/>
    <w:rsid w:val="00B55477"/>
    <w:rsid w:val="00B559C5"/>
    <w:rsid w:val="00B56332"/>
    <w:rsid w:val="00B751D9"/>
    <w:rsid w:val="00B77F43"/>
    <w:rsid w:val="00B87925"/>
    <w:rsid w:val="00B912D3"/>
    <w:rsid w:val="00B92241"/>
    <w:rsid w:val="00BB4E22"/>
    <w:rsid w:val="00BB6461"/>
    <w:rsid w:val="00BB7F92"/>
    <w:rsid w:val="00BD75DA"/>
    <w:rsid w:val="00BD7B0A"/>
    <w:rsid w:val="00BD7E0E"/>
    <w:rsid w:val="00BE11C2"/>
    <w:rsid w:val="00BF2860"/>
    <w:rsid w:val="00C0148C"/>
    <w:rsid w:val="00C029DE"/>
    <w:rsid w:val="00C04636"/>
    <w:rsid w:val="00C20002"/>
    <w:rsid w:val="00C21F18"/>
    <w:rsid w:val="00C25384"/>
    <w:rsid w:val="00C2762B"/>
    <w:rsid w:val="00C3547A"/>
    <w:rsid w:val="00C35578"/>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B4BFB"/>
    <w:rsid w:val="00CB7632"/>
    <w:rsid w:val="00CC68F0"/>
    <w:rsid w:val="00CD5354"/>
    <w:rsid w:val="00CD6D37"/>
    <w:rsid w:val="00CE1902"/>
    <w:rsid w:val="00CE241A"/>
    <w:rsid w:val="00CF2A44"/>
    <w:rsid w:val="00D21664"/>
    <w:rsid w:val="00D30F98"/>
    <w:rsid w:val="00D31078"/>
    <w:rsid w:val="00D34B4A"/>
    <w:rsid w:val="00D368D9"/>
    <w:rsid w:val="00D41322"/>
    <w:rsid w:val="00D4209D"/>
    <w:rsid w:val="00D54984"/>
    <w:rsid w:val="00D5527D"/>
    <w:rsid w:val="00D70355"/>
    <w:rsid w:val="00D740CA"/>
    <w:rsid w:val="00D77CC3"/>
    <w:rsid w:val="00D82488"/>
    <w:rsid w:val="00D93E56"/>
    <w:rsid w:val="00DA2FCA"/>
    <w:rsid w:val="00DA3F2A"/>
    <w:rsid w:val="00DA4E10"/>
    <w:rsid w:val="00DB1015"/>
    <w:rsid w:val="00DB5B57"/>
    <w:rsid w:val="00DC38AD"/>
    <w:rsid w:val="00DF1F19"/>
    <w:rsid w:val="00DF55EF"/>
    <w:rsid w:val="00DF7530"/>
    <w:rsid w:val="00E02364"/>
    <w:rsid w:val="00E0432F"/>
    <w:rsid w:val="00E06000"/>
    <w:rsid w:val="00E142E0"/>
    <w:rsid w:val="00E239BC"/>
    <w:rsid w:val="00E334AA"/>
    <w:rsid w:val="00E33FB4"/>
    <w:rsid w:val="00E35D81"/>
    <w:rsid w:val="00E422AC"/>
    <w:rsid w:val="00E55865"/>
    <w:rsid w:val="00E737B0"/>
    <w:rsid w:val="00E740AA"/>
    <w:rsid w:val="00E75E9B"/>
    <w:rsid w:val="00E80FA6"/>
    <w:rsid w:val="00E82DC6"/>
    <w:rsid w:val="00E847F8"/>
    <w:rsid w:val="00E92DBE"/>
    <w:rsid w:val="00E93E0F"/>
    <w:rsid w:val="00E94CE4"/>
    <w:rsid w:val="00EA0845"/>
    <w:rsid w:val="00EA307E"/>
    <w:rsid w:val="00EA48D2"/>
    <w:rsid w:val="00EA4EF1"/>
    <w:rsid w:val="00EB7D30"/>
    <w:rsid w:val="00EB7F08"/>
    <w:rsid w:val="00EC27DE"/>
    <w:rsid w:val="00EC2F91"/>
    <w:rsid w:val="00EC48DB"/>
    <w:rsid w:val="00EC53F6"/>
    <w:rsid w:val="00ED044A"/>
    <w:rsid w:val="00ED103E"/>
    <w:rsid w:val="00ED3089"/>
    <w:rsid w:val="00EE1358"/>
    <w:rsid w:val="00EF6BD3"/>
    <w:rsid w:val="00F00858"/>
    <w:rsid w:val="00F10238"/>
    <w:rsid w:val="00F178B5"/>
    <w:rsid w:val="00F216C4"/>
    <w:rsid w:val="00F21891"/>
    <w:rsid w:val="00F23ACB"/>
    <w:rsid w:val="00F26020"/>
    <w:rsid w:val="00F30741"/>
    <w:rsid w:val="00F32189"/>
    <w:rsid w:val="00F34B22"/>
    <w:rsid w:val="00F433C7"/>
    <w:rsid w:val="00F4362C"/>
    <w:rsid w:val="00F646BF"/>
    <w:rsid w:val="00F64AC0"/>
    <w:rsid w:val="00F72550"/>
    <w:rsid w:val="00F76D06"/>
    <w:rsid w:val="00FA03E3"/>
    <w:rsid w:val="00FA1B03"/>
    <w:rsid w:val="00FA524F"/>
    <w:rsid w:val="00FA7ED0"/>
    <w:rsid w:val="00FC1733"/>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5EDE"/>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0F19-ED57-498E-8B1B-B78C7FDE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Moyer, Diana</cp:lastModifiedBy>
  <cp:revision>14</cp:revision>
  <cp:lastPrinted>2020-03-09T14:03:00Z</cp:lastPrinted>
  <dcterms:created xsi:type="dcterms:W3CDTF">2020-03-09T13:07:00Z</dcterms:created>
  <dcterms:modified xsi:type="dcterms:W3CDTF">2020-08-25T16:00:00Z</dcterms:modified>
</cp:coreProperties>
</file>