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D21664" w:rsidP="001D05D4">
      <w:pPr>
        <w:ind w:left="-180" w:right="-720"/>
        <w:jc w:val="center"/>
        <w:rPr>
          <w:color w:val="002060"/>
          <w:sz w:val="24"/>
        </w:rPr>
      </w:pPr>
      <w:r>
        <w:rPr>
          <w:color w:val="002060"/>
          <w:sz w:val="24"/>
        </w:rPr>
        <w:t xml:space="preserve"> </w:t>
      </w:r>
      <w:r w:rsidR="00293EFE"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293EFE" w:rsidRPr="00B729DB" w:rsidRDefault="003D5878" w:rsidP="001D05D4">
      <w:pPr>
        <w:ind w:left="-180" w:right="-720"/>
        <w:jc w:val="center"/>
        <w:rPr>
          <w:color w:val="002060"/>
          <w:sz w:val="24"/>
        </w:rPr>
      </w:pPr>
      <w:r>
        <w:rPr>
          <w:color w:val="002060"/>
          <w:sz w:val="24"/>
        </w:rPr>
        <w:t>February 14</w:t>
      </w:r>
      <w:r w:rsidR="00D54984">
        <w:rPr>
          <w:color w:val="002060"/>
          <w:sz w:val="24"/>
        </w:rPr>
        <w:t>, 2018</w:t>
      </w:r>
    </w:p>
    <w:p w:rsidR="00293EFE" w:rsidRDefault="00293EFE" w:rsidP="001D05D4">
      <w:pPr>
        <w:ind w:left="-180" w:right="-720"/>
      </w:pPr>
    </w:p>
    <w:p w:rsidR="009551A6" w:rsidRDefault="009551A6" w:rsidP="001D05D4">
      <w:pPr>
        <w:ind w:left="-180" w:right="-720"/>
        <w:rPr>
          <w:color w:val="002060"/>
        </w:rPr>
      </w:pPr>
    </w:p>
    <w:p w:rsidR="00293EFE" w:rsidRDefault="00293EFE" w:rsidP="001D05D4">
      <w:pPr>
        <w:ind w:left="-180" w:right="-720"/>
        <w:rPr>
          <w:color w:val="002060"/>
        </w:rPr>
      </w:pPr>
      <w:r w:rsidRPr="00B729DB">
        <w:rPr>
          <w:color w:val="002060"/>
        </w:rPr>
        <w:t xml:space="preserve">Elected Members present:  </w:t>
      </w:r>
    </w:p>
    <w:p w:rsidR="00293EFE" w:rsidRDefault="003D5878" w:rsidP="001D05D4">
      <w:pPr>
        <w:ind w:left="-180" w:right="-720"/>
      </w:pPr>
      <w:r>
        <w:t>Jay Chen</w:t>
      </w:r>
      <w:r w:rsidR="008D18E3">
        <w:t xml:space="preserve">, </w:t>
      </w:r>
      <w:r w:rsidR="00D21664">
        <w:t xml:space="preserve">Julia Jaekel, </w:t>
      </w:r>
      <w:r w:rsidR="00F32189">
        <w:t xml:space="preserve">Juan </w:t>
      </w:r>
      <w:r w:rsidR="00D21664">
        <w:t xml:space="preserve">Jurat-Fuentes, Qiang He (Chair), </w:t>
      </w:r>
      <w:r w:rsidR="00F32189">
        <w:t>Michael Kilbey,</w:t>
      </w:r>
      <w:r>
        <w:t xml:space="preserve"> Rebecca Koszalinski</w:t>
      </w:r>
      <w:r w:rsidR="00F32189">
        <w:t xml:space="preserve"> </w:t>
      </w:r>
      <w:r w:rsidR="00D21664">
        <w:t>Jacob Latham, Andreas Nebenfuehr</w:t>
      </w:r>
      <w:r w:rsidR="008D18E3">
        <w:t xml:space="preserve">, </w:t>
      </w:r>
      <w:r>
        <w:t xml:space="preserve">Greg Reynolds, </w:t>
      </w:r>
      <w:r w:rsidR="008D18E3">
        <w:t>Casey Sams</w:t>
      </w:r>
      <w:r w:rsidR="00F32189">
        <w:t xml:space="preserve">, </w:t>
      </w:r>
      <w:r>
        <w:t>and Tami Wyatt</w:t>
      </w:r>
    </w:p>
    <w:p w:rsidR="00293EFE" w:rsidRDefault="00293EFE" w:rsidP="001D05D4">
      <w:pPr>
        <w:ind w:left="-180" w:right="-720"/>
      </w:pPr>
    </w:p>
    <w:p w:rsidR="00293EFE" w:rsidRDefault="00293EFE" w:rsidP="001D05D4">
      <w:pPr>
        <w:ind w:left="-180" w:right="-720"/>
        <w:rPr>
          <w:color w:val="002060"/>
        </w:rPr>
      </w:pPr>
      <w:r w:rsidRPr="00B729DB">
        <w:rPr>
          <w:color w:val="002060"/>
        </w:rPr>
        <w:t xml:space="preserve">Ex-Officio Members present:  </w:t>
      </w:r>
    </w:p>
    <w:p w:rsidR="00293EFE" w:rsidRDefault="00D21664" w:rsidP="001D05D4">
      <w:pPr>
        <w:ind w:left="-180" w:right="-720"/>
      </w:pPr>
      <w:r>
        <w:t xml:space="preserve">Teri Baxter, </w:t>
      </w:r>
      <w:r w:rsidR="008D18E3">
        <w:t>Steven Blackwell</w:t>
      </w:r>
      <w:r w:rsidR="003D5878">
        <w:t xml:space="preserve"> (via Zoom)</w:t>
      </w:r>
      <w:r w:rsidR="008D18E3">
        <w:t xml:space="preserve">, Chris Boake, </w:t>
      </w:r>
      <w:r w:rsidR="003D5878">
        <w:t xml:space="preserve">Bill Dunne, </w:t>
      </w:r>
      <w:r w:rsidR="008D18E3">
        <w:t xml:space="preserve">Holly Mercer, </w:t>
      </w:r>
      <w:r>
        <w:t>Robert Muenchen</w:t>
      </w:r>
      <w:r w:rsidR="008D18E3">
        <w:t>, David White, and Robert Nobles</w:t>
      </w:r>
    </w:p>
    <w:p w:rsidR="00293EFE" w:rsidRDefault="00293EFE" w:rsidP="001D05D4">
      <w:pPr>
        <w:ind w:left="-180" w:right="-720"/>
      </w:pPr>
    </w:p>
    <w:p w:rsidR="00293EFE" w:rsidRDefault="00293EFE" w:rsidP="001D05D4">
      <w:pPr>
        <w:ind w:left="-180" w:right="-720"/>
      </w:pPr>
      <w:r w:rsidRPr="00B729DB">
        <w:rPr>
          <w:color w:val="002060"/>
        </w:rPr>
        <w:t>Call to order:</w:t>
      </w:r>
      <w:r>
        <w:t xml:space="preserve">  </w:t>
      </w:r>
    </w:p>
    <w:p w:rsidR="00293EFE" w:rsidRDefault="00D21664" w:rsidP="001D05D4">
      <w:pPr>
        <w:ind w:left="-180" w:right="-720"/>
      </w:pPr>
      <w:r>
        <w:t>Qiang He</w:t>
      </w:r>
      <w:r w:rsidR="00293EFE">
        <w:t xml:space="preserve"> called the meeting to order</w:t>
      </w:r>
      <w:r w:rsidR="000B32E5">
        <w:t xml:space="preserve">. </w:t>
      </w:r>
      <w:r w:rsidR="00293EFE">
        <w:t xml:space="preserve">A regular meeting of the Research Council was held at Blount Hall room A004 on </w:t>
      </w:r>
      <w:r w:rsidR="003D5878">
        <w:t>February 14</w:t>
      </w:r>
      <w:r w:rsidR="008D18E3">
        <w:t>, 2018</w:t>
      </w:r>
      <w:r w:rsidR="00293EFE">
        <w:t>.  The me</w:t>
      </w:r>
      <w:r w:rsidR="00927B9F">
        <w:t xml:space="preserve">eting </w:t>
      </w:r>
      <w:r w:rsidR="000B32E5">
        <w:t>called to order at 3:</w:t>
      </w:r>
      <w:r w:rsidR="008D18E3">
        <w:t>3</w:t>
      </w:r>
      <w:r w:rsidR="003D5878">
        <w:t>8</w:t>
      </w:r>
      <w:r w:rsidR="00293EFE">
        <w:t xml:space="preserve"> pm.</w:t>
      </w:r>
      <w:r w:rsidR="00020107">
        <w:t xml:space="preserve">    </w:t>
      </w:r>
    </w:p>
    <w:p w:rsidR="00293EFE" w:rsidRDefault="00293EFE" w:rsidP="001D05D4">
      <w:pPr>
        <w:ind w:left="-180" w:right="-720"/>
      </w:pPr>
    </w:p>
    <w:p w:rsidR="008D18E3" w:rsidRDefault="008D18E3" w:rsidP="008D18E3">
      <w:pPr>
        <w:ind w:left="-180" w:right="-720"/>
        <w:rPr>
          <w:color w:val="002060"/>
        </w:rPr>
      </w:pPr>
      <w:r>
        <w:rPr>
          <w:color w:val="002060"/>
        </w:rPr>
        <w:t>Approval of Minutes</w:t>
      </w:r>
      <w:r w:rsidRPr="00B729DB">
        <w:rPr>
          <w:color w:val="002060"/>
        </w:rPr>
        <w:t xml:space="preserve">:  </w:t>
      </w:r>
    </w:p>
    <w:p w:rsidR="00C2762B" w:rsidRPr="008D18E3" w:rsidRDefault="008D18E3" w:rsidP="008D18E3">
      <w:pPr>
        <w:ind w:left="-180" w:right="-720"/>
        <w:rPr>
          <w:color w:val="002060"/>
        </w:rPr>
      </w:pPr>
      <w:r>
        <w:t xml:space="preserve">Minutes from the </w:t>
      </w:r>
      <w:r w:rsidR="003D5878">
        <w:t>January</w:t>
      </w:r>
      <w:r>
        <w:t xml:space="preserve"> were approved.  </w:t>
      </w:r>
    </w:p>
    <w:p w:rsidR="008D18E3" w:rsidRDefault="008D18E3" w:rsidP="001D05D4">
      <w:pPr>
        <w:ind w:left="-180" w:right="-720"/>
        <w:rPr>
          <w:color w:val="5B9BD5" w:themeColor="accent1"/>
        </w:rPr>
      </w:pPr>
    </w:p>
    <w:p w:rsidR="006A3D51" w:rsidRDefault="006A3D51" w:rsidP="006A3D51">
      <w:pPr>
        <w:ind w:left="-180" w:right="-720"/>
        <w:rPr>
          <w:color w:val="002060"/>
        </w:rPr>
      </w:pPr>
      <w:r>
        <w:rPr>
          <w:color w:val="002060"/>
        </w:rPr>
        <w:t>Announcements and Reports</w:t>
      </w:r>
    </w:p>
    <w:p w:rsidR="005D7E17" w:rsidRDefault="005D7E17" w:rsidP="005D7E17">
      <w:pPr>
        <w:ind w:left="-180" w:right="-720"/>
        <w:rPr>
          <w:color w:val="5B9BD5" w:themeColor="accent1"/>
        </w:rPr>
      </w:pPr>
      <w:r>
        <w:rPr>
          <w:color w:val="5B9BD5" w:themeColor="accent1"/>
        </w:rPr>
        <w:t>Centers and Institutes Review Committee – Juan Jurat-Fuentes</w:t>
      </w:r>
    </w:p>
    <w:p w:rsidR="003D5878" w:rsidRDefault="003D5878" w:rsidP="003D5878">
      <w:pPr>
        <w:ind w:left="-180" w:right="-720"/>
        <w:rPr>
          <w:color w:val="002060"/>
        </w:rPr>
      </w:pPr>
      <w:r>
        <w:t>The Centers are scheduled to be review this semester by the committee.  The Korn Learning, Assessment, and Social Skills Center, Center for Sport, Peace and Society, and Center for Information Technology Research were notified on January 26 of the review and are scheduled to have their packages to the committee by March 28.  The committee is expected to provide feedback and recommendations by May 7.</w:t>
      </w:r>
    </w:p>
    <w:p w:rsidR="003D5878" w:rsidRDefault="003D5878" w:rsidP="003D5878">
      <w:pPr>
        <w:ind w:left="-180" w:right="-720"/>
        <w:rPr>
          <w:color w:val="002060"/>
        </w:rPr>
      </w:pPr>
    </w:p>
    <w:p w:rsidR="008C4D28" w:rsidRDefault="00B258FF" w:rsidP="001D05D4">
      <w:pPr>
        <w:ind w:left="-180" w:right="-720"/>
        <w:rPr>
          <w:color w:val="5B9BD5" w:themeColor="accent1"/>
        </w:rPr>
      </w:pPr>
      <w:r>
        <w:rPr>
          <w:color w:val="5B9BD5" w:themeColor="accent1"/>
        </w:rPr>
        <w:t>Chancellor Awards Committee – Soren Sorensen</w:t>
      </w:r>
    </w:p>
    <w:p w:rsidR="004416D3" w:rsidRDefault="003D5878" w:rsidP="001D05D4">
      <w:pPr>
        <w:ind w:left="-180" w:right="-720"/>
      </w:pPr>
      <w:r>
        <w:t>The committee sent recommendations to the Associate Vice Chancellor for Research Development which were subsequently approved and submitted to the Chancellor Awards Committee.</w:t>
      </w:r>
      <w:r w:rsidR="005D7E17">
        <w:t xml:space="preserve">   See last month’s minutes for number of proposals for each category. </w:t>
      </w:r>
    </w:p>
    <w:p w:rsidR="00AE37BC" w:rsidRDefault="00AE37BC" w:rsidP="001D05D4">
      <w:pPr>
        <w:ind w:left="-180" w:right="-720"/>
      </w:pPr>
    </w:p>
    <w:p w:rsidR="005D7E17" w:rsidRDefault="005D7E17" w:rsidP="005D7E17">
      <w:pPr>
        <w:ind w:left="-180" w:right="-720"/>
        <w:rPr>
          <w:color w:val="5B9BD5" w:themeColor="accent1"/>
        </w:rPr>
      </w:pPr>
      <w:r>
        <w:rPr>
          <w:color w:val="5B9BD5" w:themeColor="accent1"/>
        </w:rPr>
        <w:t xml:space="preserve">Summer Graduate Research Assistantship Review (GRA) Committee – George </w:t>
      </w:r>
      <w:proofErr w:type="spellStart"/>
      <w:r>
        <w:rPr>
          <w:color w:val="5B9BD5" w:themeColor="accent1"/>
        </w:rPr>
        <w:t>Siopis</w:t>
      </w:r>
      <w:proofErr w:type="spellEnd"/>
    </w:p>
    <w:p w:rsidR="005D7E17" w:rsidRDefault="005D7E17" w:rsidP="005D7E17">
      <w:pPr>
        <w:ind w:left="-180" w:right="-720"/>
      </w:pPr>
      <w:r>
        <w:t>The GRA</w:t>
      </w:r>
      <w:r>
        <w:t xml:space="preserve"> </w:t>
      </w:r>
      <w:r>
        <w:t>call for proposals was released on January 24.  Thirty-four (34) proposals were received</w:t>
      </w:r>
      <w:r w:rsidR="00DC38AD">
        <w:t xml:space="preserve"> and the committee has until March 26 to make recommendations and announcement of awards expected March 28.  Please see submittal breakdown below</w:t>
      </w:r>
      <w:r>
        <w:t>:</w:t>
      </w:r>
    </w:p>
    <w:p w:rsidR="005D7E17" w:rsidRDefault="005D7E17" w:rsidP="005D7E17">
      <w:pPr>
        <w:ind w:left="-180" w:right="-720"/>
      </w:pPr>
    </w:p>
    <w:p w:rsidR="005D7E17" w:rsidRDefault="005D7E17" w:rsidP="005D7E17">
      <w:pPr>
        <w:tabs>
          <w:tab w:val="decimal" w:pos="5760"/>
        </w:tabs>
        <w:ind w:left="720" w:right="-720"/>
      </w:pPr>
      <w:proofErr w:type="spellStart"/>
      <w:r>
        <w:t>Archecture</w:t>
      </w:r>
      <w:proofErr w:type="spellEnd"/>
      <w:r>
        <w:t xml:space="preserve"> &amp; Design</w:t>
      </w:r>
      <w:r>
        <w:tab/>
        <w:t>1</w:t>
      </w:r>
    </w:p>
    <w:p w:rsidR="005D7E17" w:rsidRDefault="005D7E17" w:rsidP="005D7E17">
      <w:pPr>
        <w:tabs>
          <w:tab w:val="decimal" w:pos="5760"/>
        </w:tabs>
        <w:ind w:left="720" w:right="-720"/>
      </w:pPr>
      <w:r>
        <w:t>Arts &amp; Sciences</w:t>
      </w:r>
      <w:r>
        <w:tab/>
        <w:t>17</w:t>
      </w:r>
    </w:p>
    <w:p w:rsidR="005D7E17" w:rsidRDefault="005D7E17" w:rsidP="005D7E17">
      <w:pPr>
        <w:tabs>
          <w:tab w:val="decimal" w:pos="5760"/>
        </w:tabs>
        <w:ind w:left="720" w:right="-720"/>
      </w:pPr>
      <w:r>
        <w:t>Communication &amp; Information</w:t>
      </w:r>
      <w:r>
        <w:tab/>
        <w:t>3</w:t>
      </w:r>
    </w:p>
    <w:p w:rsidR="005D7E17" w:rsidRDefault="005D7E17" w:rsidP="005D7E17">
      <w:pPr>
        <w:tabs>
          <w:tab w:val="decimal" w:pos="5760"/>
        </w:tabs>
        <w:ind w:left="720" w:right="-720"/>
      </w:pPr>
      <w:r>
        <w:t>Education, Health &amp; Human Sciences</w:t>
      </w:r>
      <w:r>
        <w:tab/>
        <w:t>5</w:t>
      </w:r>
    </w:p>
    <w:p w:rsidR="005D7E17" w:rsidRDefault="005D7E17" w:rsidP="005D7E17">
      <w:pPr>
        <w:tabs>
          <w:tab w:val="decimal" w:pos="5760"/>
        </w:tabs>
        <w:ind w:left="720" w:right="-720"/>
      </w:pPr>
      <w:r>
        <w:t>Engineering</w:t>
      </w:r>
      <w:r>
        <w:tab/>
        <w:t>6</w:t>
      </w:r>
    </w:p>
    <w:p w:rsidR="005D7E17" w:rsidRDefault="005D7E17" w:rsidP="005D7E17">
      <w:pPr>
        <w:tabs>
          <w:tab w:val="decimal" w:pos="5760"/>
        </w:tabs>
        <w:ind w:left="720" w:right="-720"/>
      </w:pPr>
      <w:r>
        <w:t>Social Work</w:t>
      </w:r>
      <w:r>
        <w:tab/>
        <w:t>1</w:t>
      </w:r>
    </w:p>
    <w:p w:rsidR="005D7E17" w:rsidRDefault="005D7E17" w:rsidP="005D7E17">
      <w:pPr>
        <w:tabs>
          <w:tab w:val="decimal" w:pos="5760"/>
        </w:tabs>
        <w:ind w:left="720" w:right="-720"/>
      </w:pPr>
      <w:r>
        <w:t>UTIA</w:t>
      </w:r>
      <w:r>
        <w:tab/>
        <w:t>1</w:t>
      </w:r>
    </w:p>
    <w:p w:rsidR="00C80182" w:rsidRDefault="00C80182" w:rsidP="00C80182">
      <w:pPr>
        <w:ind w:left="-180" w:right="-720"/>
        <w:rPr>
          <w:color w:val="5B9BD5" w:themeColor="accent1"/>
        </w:rPr>
      </w:pPr>
    </w:p>
    <w:p w:rsidR="00C80182" w:rsidRDefault="00C80182" w:rsidP="00C80182">
      <w:pPr>
        <w:ind w:left="-180" w:right="-720"/>
        <w:rPr>
          <w:color w:val="5B9BD5" w:themeColor="accent1"/>
        </w:rPr>
      </w:pPr>
      <w:r>
        <w:rPr>
          <w:color w:val="5B9BD5" w:themeColor="accent1"/>
        </w:rPr>
        <w:t>Working Group for Human Subjects Research – Greg Reynolds</w:t>
      </w:r>
    </w:p>
    <w:p w:rsidR="00C80182" w:rsidRDefault="0067565C" w:rsidP="00C80182">
      <w:pPr>
        <w:ind w:left="-180" w:right="-720"/>
      </w:pPr>
      <w:r>
        <w:t xml:space="preserve">Implementation of changes to the common rule scheduled for January have been pushed back to July 2018.  This will impact the updates to IMEDRIS.  Still working on documents for accreditation for human subject research at Tennessee.  The committee is currently doing a gap analysis at threat item 6; still lots of items to review.  </w:t>
      </w:r>
    </w:p>
    <w:p w:rsidR="00E02364" w:rsidRDefault="00E02364" w:rsidP="001D05D4">
      <w:pPr>
        <w:ind w:left="-180" w:right="-720"/>
        <w:rPr>
          <w:color w:val="002060"/>
        </w:rPr>
      </w:pPr>
    </w:p>
    <w:p w:rsidR="00DC38AD" w:rsidRDefault="00DC38AD" w:rsidP="001D05D4">
      <w:pPr>
        <w:ind w:left="-180" w:right="-720"/>
        <w:rPr>
          <w:color w:val="002060"/>
        </w:rPr>
      </w:pPr>
      <w:bookmarkStart w:id="0" w:name="_GoBack"/>
      <w:bookmarkEnd w:id="0"/>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DC38AD" w:rsidRDefault="00DC38AD" w:rsidP="001D05D4">
      <w:pPr>
        <w:ind w:left="-180" w:right="-720"/>
        <w:rPr>
          <w:color w:val="002060"/>
        </w:rPr>
      </w:pPr>
    </w:p>
    <w:p w:rsidR="00A9303F" w:rsidRDefault="00DC38AD" w:rsidP="001D05D4">
      <w:pPr>
        <w:ind w:left="-180" w:right="-720"/>
        <w:rPr>
          <w:color w:val="002060"/>
        </w:rPr>
      </w:pPr>
      <w:r>
        <w:rPr>
          <w:color w:val="002060"/>
        </w:rPr>
        <w:t>P</w:t>
      </w:r>
      <w:r w:rsidR="006D4010">
        <w:rPr>
          <w:color w:val="002060"/>
        </w:rPr>
        <w:t>resentations:</w:t>
      </w:r>
    </w:p>
    <w:p w:rsidR="00A9303F" w:rsidRDefault="00CE1902" w:rsidP="001D05D4">
      <w:pPr>
        <w:ind w:left="-180" w:right="-720"/>
        <w:rPr>
          <w:color w:val="5B9BD5" w:themeColor="accent1"/>
        </w:rPr>
      </w:pPr>
      <w:r>
        <w:rPr>
          <w:color w:val="5B9BD5" w:themeColor="accent1"/>
        </w:rPr>
        <w:t>Community Engagement Strategic Framework – Javiette Samuel, Director of ORE Community Engagement</w:t>
      </w:r>
    </w:p>
    <w:p w:rsidR="00AE37BC" w:rsidRDefault="00CE1902" w:rsidP="00CE1902">
      <w:pPr>
        <w:ind w:left="-180" w:right="-720"/>
      </w:pPr>
      <w:r>
        <w:t>The Office of Community Engagement has developed a 3-year strategic plan to h</w:t>
      </w:r>
      <w:r w:rsidRPr="00CE1902">
        <w:t>elp fulfill land grant mission by connecting knowledge with commun</w:t>
      </w:r>
      <w:r>
        <w:t>ity in mutually beneficial ways, p</w:t>
      </w:r>
      <w:r w:rsidRPr="00CE1902">
        <w:t>rovide resources to assist university and community partners in addressing issues of concern to society</w:t>
      </w:r>
      <w:r>
        <w:t>, and s</w:t>
      </w:r>
      <w:r w:rsidRPr="00CE1902">
        <w:t>upport internal and external partnerships that generate, apply, transmit, and preserve knowledge</w:t>
      </w:r>
      <w:r>
        <w:t>.  The strategic priorities are to d</w:t>
      </w:r>
      <w:r w:rsidRPr="00CE1902">
        <w:t>evelop new programming and initiatives</w:t>
      </w:r>
      <w:r>
        <w:t>, c</w:t>
      </w:r>
      <w:r w:rsidRPr="00CE1902">
        <w:t>ontinue to develop and strengthen internal resources</w:t>
      </w:r>
      <w:r>
        <w:t>, b</w:t>
      </w:r>
      <w:r w:rsidRPr="00CE1902">
        <w:t>uild campus-wide community engagement profile through data collection</w:t>
      </w:r>
      <w:r>
        <w:t>, and i</w:t>
      </w:r>
      <w:r w:rsidRPr="00CE1902">
        <w:t>mprove UT’s image around community engagement</w:t>
      </w:r>
      <w:r>
        <w:t xml:space="preserve">.  </w:t>
      </w:r>
    </w:p>
    <w:p w:rsidR="00CE1902" w:rsidRDefault="00CE1902" w:rsidP="00CE1902">
      <w:pPr>
        <w:ind w:left="-180" w:right="-720"/>
      </w:pPr>
    </w:p>
    <w:p w:rsidR="00CE1902" w:rsidRDefault="00CE1902" w:rsidP="00CE1902">
      <w:pPr>
        <w:ind w:left="-180" w:right="-720"/>
      </w:pPr>
      <w:r>
        <w:t>The next several years will encompass new initiatives including a Community Engagement Symposium, Nonprofit Day, and Faculty Workshops/Roundtables in 2018.  Tennessee Challenges, Engaged Scholars, and mapping UT Engagement Activities partnering with UTK GIS will be launched in 2019</w:t>
      </w:r>
      <w:r w:rsidR="00ED044A">
        <w:t xml:space="preserve"> with a goal to have all 95 counties captured</w:t>
      </w:r>
      <w:r>
        <w:t xml:space="preserve">.  Finally, in 2020, a road scholar program will be developed, pre-college summer program, and implementing the ideas developed form the Community Engagement Symposium from 2018.  </w:t>
      </w:r>
    </w:p>
    <w:p w:rsidR="00CE1902" w:rsidRDefault="00CE1902" w:rsidP="00CE1902">
      <w:pPr>
        <w:ind w:left="-180" w:right="-720"/>
      </w:pPr>
    </w:p>
    <w:p w:rsidR="00CE1902" w:rsidRDefault="00CE1902" w:rsidP="00CE1902">
      <w:pPr>
        <w:ind w:left="-180" w:right="-720"/>
      </w:pPr>
      <w:r>
        <w:t xml:space="preserve">Community Engagement </w:t>
      </w:r>
      <w:r w:rsidR="00ED044A">
        <w:t xml:space="preserve">depends on many organizations within UT:  Office of Service Learning, Center for Leadership and Service, Leadership Studies and Honors Leadership Program; these are both faculty and student focused.   </w:t>
      </w:r>
    </w:p>
    <w:p w:rsidR="00CE1902" w:rsidRDefault="00CE1902" w:rsidP="00CE1902">
      <w:pPr>
        <w:ind w:left="-180" w:right="-720"/>
        <w:rPr>
          <w:color w:val="5B9BD5" w:themeColor="accent1"/>
        </w:rPr>
      </w:pPr>
    </w:p>
    <w:p w:rsidR="00CE1902" w:rsidRDefault="00CE1902" w:rsidP="00CE1902">
      <w:pPr>
        <w:ind w:left="-180" w:right="-720"/>
        <w:rPr>
          <w:color w:val="5B9BD5" w:themeColor="accent1"/>
        </w:rPr>
      </w:pPr>
      <w:r>
        <w:rPr>
          <w:color w:val="5B9BD5" w:themeColor="accent1"/>
        </w:rPr>
        <w:t>Draft Policy on Authorship in Scholarly Publications – Joseph R. Stainback</w:t>
      </w:r>
    </w:p>
    <w:p w:rsidR="000F5510" w:rsidRDefault="00ED044A" w:rsidP="00AE37BC">
      <w:pPr>
        <w:ind w:left="-180" w:right="-720"/>
      </w:pPr>
      <w:r>
        <w:t xml:space="preserve">Dr. Stainback is the current acting Research Integrity Officer and was asked to develop procedures focusing on authorship in scholarly publications.  The team consisted of Wade Bishop, Caitlin Lewis and Joseph Stainback.  A procedure was developed to carve out relevant and important procedural components from peer, inspirational and other universities.  It has a logical structure and clarifying language was added based on current challenges and misconduct.  </w:t>
      </w:r>
      <w:r w:rsidR="005A4F02">
        <w:t xml:space="preserve">The next steps will involve working with the research council possibly a working group or task force to finalize the procedure.  Within the procedure, resolving disputes at the lowest level is encouraged and flexibility is needed to consider individual situations when there are multiple authorships listed.  </w:t>
      </w:r>
    </w:p>
    <w:p w:rsidR="005A4F02" w:rsidRDefault="005A4F02" w:rsidP="00AE37BC">
      <w:pPr>
        <w:ind w:left="-180" w:right="-720"/>
      </w:pPr>
    </w:p>
    <w:p w:rsidR="005A4F02" w:rsidRDefault="005A4F02" w:rsidP="005A4F02">
      <w:pPr>
        <w:ind w:left="-180" w:right="-720"/>
        <w:rPr>
          <w:color w:val="5B9BD5" w:themeColor="accent1"/>
        </w:rPr>
      </w:pPr>
      <w:r>
        <w:rPr>
          <w:color w:val="5B9BD5" w:themeColor="accent1"/>
        </w:rPr>
        <w:t>How to Support and Expand Humanities Research</w:t>
      </w:r>
    </w:p>
    <w:p w:rsidR="005A4F02" w:rsidRDefault="005A4F02" w:rsidP="00AE37BC">
      <w:pPr>
        <w:ind w:left="-180" w:right="-720"/>
      </w:pPr>
      <w:r>
        <w:t xml:space="preserve">Cayuse has become a barrier to data entry for fellowships </w:t>
      </w:r>
      <w:r w:rsidR="0067565C">
        <w:t>applications</w:t>
      </w:r>
      <w:r>
        <w:t xml:space="preserve"> within Humanities.  It is burdensome to enter all the information regarding a fellowship applications just for tracking purposes.  </w:t>
      </w:r>
      <w:r w:rsidR="00A64360">
        <w:t>There may be an opportunity to use a different system. Jean Mercer with contact Jacob Latham.</w:t>
      </w:r>
    </w:p>
    <w:p w:rsidR="00330ACE" w:rsidRDefault="00330ACE" w:rsidP="00AE37BC">
      <w:pPr>
        <w:ind w:left="-180" w:right="-720"/>
      </w:pPr>
    </w:p>
    <w:p w:rsidR="00293EFE" w:rsidRDefault="00293EFE" w:rsidP="001D05D4">
      <w:pPr>
        <w:ind w:left="-180" w:right="-720"/>
      </w:pPr>
      <w:r w:rsidRPr="00941D01">
        <w:rPr>
          <w:color w:val="002060"/>
        </w:rPr>
        <w:t>Adjournment:</w:t>
      </w:r>
      <w:r w:rsidR="0035157C">
        <w:rPr>
          <w:color w:val="002060"/>
        </w:rPr>
        <w:t xml:space="preserve">  </w:t>
      </w:r>
      <w:r>
        <w:t>The Cha</w:t>
      </w:r>
      <w:r w:rsidR="0002211F">
        <w:t xml:space="preserve">ir adjourned the meeting at </w:t>
      </w:r>
      <w:r w:rsidR="00874EE3">
        <w:t>5:</w:t>
      </w:r>
      <w:r w:rsidR="00A64360">
        <w:t>05</w:t>
      </w:r>
      <w:r>
        <w:t xml:space="preserve">pm.  </w:t>
      </w:r>
    </w:p>
    <w:p w:rsidR="00293EFE" w:rsidRDefault="00293EFE" w:rsidP="001D05D4">
      <w:pPr>
        <w:ind w:left="-180" w:right="-720"/>
      </w:pPr>
    </w:p>
    <w:p w:rsidR="0083699C" w:rsidRDefault="00293EFE" w:rsidP="001D05D4">
      <w:pPr>
        <w:ind w:left="-180" w:right="-720"/>
      </w:pPr>
      <w:r w:rsidRPr="00941D01">
        <w:rPr>
          <w:color w:val="002060"/>
        </w:rPr>
        <w:t xml:space="preserve">Minutes submitted by: </w:t>
      </w:r>
      <w:r w:rsidR="0035157C">
        <w:rPr>
          <w:color w:val="002060"/>
        </w:rPr>
        <w:t xml:space="preserve">  </w:t>
      </w:r>
      <w:r>
        <w:t>Paula Brown</w:t>
      </w:r>
    </w:p>
    <w:p w:rsidR="001D05D4" w:rsidRDefault="001D05D4" w:rsidP="001D05D4">
      <w:pPr>
        <w:ind w:left="-180" w:right="-720"/>
        <w:rPr>
          <w:color w:val="002060"/>
        </w:rPr>
      </w:pPr>
    </w:p>
    <w:p w:rsidR="001D05D4" w:rsidRDefault="001D05D4" w:rsidP="001D05D4">
      <w:pPr>
        <w:ind w:left="-180" w:right="-720"/>
        <w:rPr>
          <w:color w:val="002060"/>
        </w:rPr>
      </w:pPr>
      <w:r>
        <w:rPr>
          <w:color w:val="002060"/>
        </w:rPr>
        <w:t>Next Meet</w:t>
      </w:r>
      <w:r w:rsidR="00B559C5">
        <w:rPr>
          <w:color w:val="002060"/>
        </w:rPr>
        <w:t xml:space="preserve">ing:  </w:t>
      </w:r>
      <w:r w:rsidR="00DC38AD">
        <w:rPr>
          <w:color w:val="000000" w:themeColor="text1"/>
        </w:rPr>
        <w:t>March 7,</w:t>
      </w:r>
      <w:r w:rsidR="00685CC3">
        <w:rPr>
          <w:color w:val="000000" w:themeColor="text1"/>
        </w:rPr>
        <w:t xml:space="preserve"> 2018</w:t>
      </w:r>
      <w:r w:rsidR="00B559C5" w:rsidRPr="00B559C5">
        <w:rPr>
          <w:color w:val="000000" w:themeColor="text1"/>
        </w:rPr>
        <w:t xml:space="preserve"> @</w:t>
      </w:r>
      <w:r w:rsidR="00874EE3">
        <w:rPr>
          <w:color w:val="000000" w:themeColor="text1"/>
        </w:rPr>
        <w:t>3:30</w:t>
      </w:r>
      <w:r w:rsidR="00B559C5" w:rsidRPr="00B559C5">
        <w:rPr>
          <w:color w:val="000000" w:themeColor="text1"/>
        </w:rPr>
        <w:t xml:space="preserve"> p</w:t>
      </w:r>
      <w:r w:rsidRPr="00B559C5">
        <w:rPr>
          <w:color w:val="000000" w:themeColor="text1"/>
        </w:rPr>
        <w:t xml:space="preserve">m in Blount Hall A004. </w:t>
      </w:r>
      <w:r>
        <w:rPr>
          <w:color w:val="002060"/>
        </w:rPr>
        <w:t xml:space="preserve"> </w:t>
      </w:r>
    </w:p>
    <w:p w:rsidR="001D05D4" w:rsidRDefault="001D05D4" w:rsidP="001D05D4">
      <w:pPr>
        <w:ind w:left="720" w:right="-720"/>
      </w:pPr>
      <w:r>
        <w:rPr>
          <w:color w:val="002060"/>
        </w:rPr>
        <w:t xml:space="preserve">Zoom Attendance: </w:t>
      </w:r>
      <w:hyperlink r:id="rId6" w:tgtFrame="_blank" w:history="1">
        <w:r w:rsidRPr="001D05D4">
          <w:rPr>
            <w:rStyle w:val="Hyperlink"/>
          </w:rPr>
          <w:t>https://tennessee.zoom.us/j/705429195</w:t>
        </w:r>
      </w:hyperlink>
      <w:r>
        <w:t>, please confirm with Paula</w:t>
      </w:r>
      <w:r w:rsidR="00495847">
        <w:t xml:space="preserve"> </w:t>
      </w:r>
      <w:r w:rsidR="00B559C5">
        <w:t>Brown</w:t>
      </w:r>
    </w:p>
    <w:sectPr w:rsidR="001D05D4" w:rsidSect="001D05D4">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0" w:rsidRDefault="00F72550" w:rsidP="0066592C">
      <w:r>
        <w:separator/>
      </w:r>
    </w:p>
  </w:endnote>
  <w:endnote w:type="continuationSeparator" w:id="0">
    <w:p w:rsidR="00F72550" w:rsidRDefault="00F72550"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C80182">
      <w:rPr>
        <w:sz w:val="16"/>
      </w:rPr>
      <w:t>02/14/</w:t>
    </w:r>
    <w:r w:rsidR="0066592C">
      <w:rPr>
        <w:sz w:val="16"/>
      </w:rPr>
      <w:t>1</w:t>
    </w:r>
    <w:r w:rsidR="00B258FF">
      <w:rPr>
        <w:sz w:val="16"/>
      </w:rPr>
      <w:t>8</w:t>
    </w:r>
    <w:r w:rsidR="0066592C">
      <w:rPr>
        <w:sz w:val="16"/>
      </w:rPr>
      <w:t xml:space="preserve">  </w:t>
    </w:r>
    <w:r w:rsidR="0066592C">
      <w:rPr>
        <w:sz w:val="16"/>
      </w:rPr>
      <w:tab/>
    </w:r>
    <w:r w:rsidR="0066592C" w:rsidRPr="00941D01">
      <w:rPr>
        <w:sz w:val="16"/>
      </w:rPr>
      <w:t xml:space="preserve">Page </w:t>
    </w:r>
    <w:sdt>
      <w:sdtPr>
        <w:rPr>
          <w:sz w:val="16"/>
        </w:rPr>
        <w:id w:val="868958201"/>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DC38AD" w:rsidRPr="00DC38AD">
          <w:rPr>
            <w:noProof/>
            <w:sz w:val="16"/>
          </w:rPr>
          <w:t>2</w:t>
        </w:r>
        <w:r w:rsidR="00C82993">
          <w:rPr>
            <w:noProof/>
            <w:sz w:val="16"/>
          </w:rPr>
          <w:fldChar w:fldCharType="end"/>
        </w:r>
      </w:sdtContent>
    </w:sdt>
  </w:p>
  <w:p w:rsidR="00941D01" w:rsidRPr="00941D01" w:rsidRDefault="00DC38AD" w:rsidP="00941D01">
    <w:pPr>
      <w:pStyle w:val="Footer"/>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0" w:rsidRDefault="00F72550" w:rsidP="0066592C">
      <w:r>
        <w:separator/>
      </w:r>
    </w:p>
  </w:footnote>
  <w:footnote w:type="continuationSeparator" w:id="0">
    <w:p w:rsidR="00F72550" w:rsidRDefault="00F72550" w:rsidP="0066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4102"/>
    <w:rsid w:val="00020107"/>
    <w:rsid w:val="0002211F"/>
    <w:rsid w:val="00090524"/>
    <w:rsid w:val="000B32E5"/>
    <w:rsid w:val="000B67BD"/>
    <w:rsid w:val="000F5510"/>
    <w:rsid w:val="0017061E"/>
    <w:rsid w:val="001D05D4"/>
    <w:rsid w:val="001F353D"/>
    <w:rsid w:val="00237277"/>
    <w:rsid w:val="00250747"/>
    <w:rsid w:val="00252D06"/>
    <w:rsid w:val="00257125"/>
    <w:rsid w:val="00293EFE"/>
    <w:rsid w:val="002A0109"/>
    <w:rsid w:val="002B71BA"/>
    <w:rsid w:val="002E16F5"/>
    <w:rsid w:val="00323EC0"/>
    <w:rsid w:val="00330ACE"/>
    <w:rsid w:val="0035157C"/>
    <w:rsid w:val="003D5878"/>
    <w:rsid w:val="00404E75"/>
    <w:rsid w:val="004416D3"/>
    <w:rsid w:val="00491C62"/>
    <w:rsid w:val="00495847"/>
    <w:rsid w:val="004D45B4"/>
    <w:rsid w:val="00574F38"/>
    <w:rsid w:val="005A4F02"/>
    <w:rsid w:val="005D7E17"/>
    <w:rsid w:val="00600615"/>
    <w:rsid w:val="0066592C"/>
    <w:rsid w:val="0067565C"/>
    <w:rsid w:val="00685CC3"/>
    <w:rsid w:val="006A3D51"/>
    <w:rsid w:val="006B65E9"/>
    <w:rsid w:val="006D4010"/>
    <w:rsid w:val="006F305A"/>
    <w:rsid w:val="006F4E4F"/>
    <w:rsid w:val="00715B31"/>
    <w:rsid w:val="00755EF4"/>
    <w:rsid w:val="00761B6B"/>
    <w:rsid w:val="00782336"/>
    <w:rsid w:val="00795DD6"/>
    <w:rsid w:val="007A2251"/>
    <w:rsid w:val="007D4B3A"/>
    <w:rsid w:val="00820E5E"/>
    <w:rsid w:val="008338B8"/>
    <w:rsid w:val="0083507E"/>
    <w:rsid w:val="0083699C"/>
    <w:rsid w:val="00844F1C"/>
    <w:rsid w:val="00874EE3"/>
    <w:rsid w:val="008C4D28"/>
    <w:rsid w:val="008D18E3"/>
    <w:rsid w:val="008D5884"/>
    <w:rsid w:val="00927B9F"/>
    <w:rsid w:val="009551A6"/>
    <w:rsid w:val="00986527"/>
    <w:rsid w:val="00994F49"/>
    <w:rsid w:val="00A64360"/>
    <w:rsid w:val="00A71489"/>
    <w:rsid w:val="00A9303F"/>
    <w:rsid w:val="00AC6939"/>
    <w:rsid w:val="00AE37BC"/>
    <w:rsid w:val="00B258FF"/>
    <w:rsid w:val="00B27807"/>
    <w:rsid w:val="00B4542C"/>
    <w:rsid w:val="00B559C5"/>
    <w:rsid w:val="00B87925"/>
    <w:rsid w:val="00BD75DA"/>
    <w:rsid w:val="00C2762B"/>
    <w:rsid w:val="00C3547A"/>
    <w:rsid w:val="00C535F5"/>
    <w:rsid w:val="00C67191"/>
    <w:rsid w:val="00C74BDB"/>
    <w:rsid w:val="00C80182"/>
    <w:rsid w:val="00C82993"/>
    <w:rsid w:val="00CB7632"/>
    <w:rsid w:val="00CE1902"/>
    <w:rsid w:val="00D21664"/>
    <w:rsid w:val="00D41322"/>
    <w:rsid w:val="00D54984"/>
    <w:rsid w:val="00D5527D"/>
    <w:rsid w:val="00DB1015"/>
    <w:rsid w:val="00DC38AD"/>
    <w:rsid w:val="00E02364"/>
    <w:rsid w:val="00E334AA"/>
    <w:rsid w:val="00E422AC"/>
    <w:rsid w:val="00E80FA6"/>
    <w:rsid w:val="00E93E0F"/>
    <w:rsid w:val="00EC53F6"/>
    <w:rsid w:val="00ED044A"/>
    <w:rsid w:val="00ED3089"/>
    <w:rsid w:val="00F178B5"/>
    <w:rsid w:val="00F32189"/>
    <w:rsid w:val="00F72550"/>
    <w:rsid w:val="00FA7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1E083"/>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F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nnessee.zoom.us/j/7054291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 Wyatt</cp:lastModifiedBy>
  <cp:revision>5</cp:revision>
  <dcterms:created xsi:type="dcterms:W3CDTF">2018-03-07T13:48:00Z</dcterms:created>
  <dcterms:modified xsi:type="dcterms:W3CDTF">2018-03-07T16:13:00Z</dcterms:modified>
</cp:coreProperties>
</file>